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7"/>
        <w:ind w:left="6520" w:right="0" w:firstLine="0"/>
        <w:jc w:val="left"/>
        <w:spacing w:after="200"/>
        <w:shd w:val="clear" w:color="auto" w:fill="auto"/>
        <w:rPr>
          <w:rFonts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Style w:val="934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Приложение №  1                            </w:t>
      </w:r>
      <w:r>
        <w:rPr>
          <w:rStyle w:val="934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к приказу ФГБОУ ВО БГМУ Минздрава России от </w:t>
      </w:r>
      <w:r>
        <w:rPr>
          <w:rStyle w:val="934"/>
          <w:rFonts w:eastAsia="Times New Roman" w:cs="Times New Roman"/>
          <w:b w:val="0"/>
          <w:bCs w:val="0"/>
          <w:sz w:val="26"/>
          <w:szCs w:val="26"/>
          <w:highlight w:val="none"/>
        </w:rPr>
        <w:t xml:space="preserve">        №</w:t>
      </w:r>
      <w:r>
        <w:rPr>
          <w:rFonts w:eastAsia="Times New Roman" w:cs="Times New Roman"/>
          <w:b w:val="0"/>
          <w:bCs w:val="0"/>
          <w:sz w:val="26"/>
          <w:szCs w:val="26"/>
          <w:highlight w:val="none"/>
        </w:rPr>
      </w:r>
      <w:r>
        <w:rPr>
          <w:rFonts w:eastAsia="Times New Roman" w:cs="Times New Roman"/>
          <w:b w:val="0"/>
          <w:bCs w:val="0"/>
          <w:sz w:val="26"/>
          <w:szCs w:val="26"/>
          <w:highlight w:val="none"/>
        </w:rPr>
      </w:r>
    </w:p>
    <w:p>
      <w:pPr>
        <w:pStyle w:val="947"/>
        <w:ind w:firstLine="0"/>
        <w:jc w:val="center"/>
        <w:spacing w:after="200"/>
        <w:shd w:val="clear" w:color="auto" w:fill="auto"/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b/>
          <w:sz w:val="26"/>
          <w:szCs w:val="26"/>
          <w:highlight w:val="none"/>
        </w:rPr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0"/>
        <w:jc w:val="center"/>
        <w:spacing w:after="200"/>
        <w:shd w:val="clear" w:color="auto" w:fill="auto"/>
        <w:rPr>
          <w:rStyle w:val="934"/>
          <w:rFonts w:eastAsia="Times New Roman" w:cs="Times New Roman"/>
          <w:b/>
          <w:bCs/>
          <w:sz w:val="26"/>
          <w:szCs w:val="26"/>
          <w:highlight w:val="none"/>
        </w:rPr>
      </w:pPr>
      <w:r>
        <w:rPr>
          <w:rStyle w:val="934"/>
          <w:rFonts w:eastAsia="Times New Roman" w:cs="Times New Roman"/>
          <w:b/>
          <w:sz w:val="26"/>
          <w:szCs w:val="26"/>
        </w:rPr>
        <w:t xml:space="preserve">Договор об оказании платных образовательных услуг</w:t>
      </w:r>
      <w:r>
        <w:rPr>
          <w:rStyle w:val="934"/>
          <w:rFonts w:eastAsia="Times New Roman" w:cs="Times New Roman"/>
          <w:b/>
          <w:sz w:val="26"/>
          <w:szCs w:val="26"/>
        </w:rPr>
        <w:br/>
        <w:t xml:space="preserve">по основным профессиональным образовательным программам</w:t>
      </w:r>
      <w:r>
        <w:rPr>
          <w:rStyle w:val="934"/>
          <w:rFonts w:eastAsia="Times New Roman" w:cs="Times New Roman"/>
          <w:b/>
          <w:bCs/>
          <w:sz w:val="26"/>
          <w:szCs w:val="26"/>
        </w:rPr>
        <w:t xml:space="preserve">                               </w:t>
      </w:r>
      <w:r>
        <w:rPr>
          <w:rStyle w:val="934"/>
          <w:rFonts w:eastAsia="Times New Roman" w:cs="Times New Roman"/>
          <w:b/>
          <w:bCs/>
          <w:sz w:val="26"/>
          <w:szCs w:val="26"/>
        </w:rPr>
        <w:t xml:space="preserve">среднего профессионального образовани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я</w:t>
      </w:r>
      <w:r>
        <w:rPr>
          <w:rStyle w:val="934"/>
          <w:rFonts w:eastAsia="Times New Roman" w:cs="Times New Roman"/>
          <w:b/>
          <w:bCs/>
          <w:sz w:val="26"/>
          <w:szCs w:val="26"/>
          <w:highlight w:val="none"/>
        </w:rPr>
      </w:r>
      <w:r>
        <w:rPr>
          <w:rStyle w:val="934"/>
          <w:rFonts w:eastAsia="Times New Roman" w:cs="Times New Roman"/>
          <w:b/>
          <w:bCs/>
          <w:sz w:val="26"/>
          <w:szCs w:val="26"/>
          <w:highlight w:val="none"/>
        </w:rPr>
      </w:r>
    </w:p>
    <w:p>
      <w:pPr>
        <w:pStyle w:val="947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г. Уфа                                                                                               </w:t>
      </w:r>
      <w:r>
        <w:rPr>
          <w:rStyle w:val="934"/>
          <w:rFonts w:eastAsia="Times New Roman" w:cs="Times New Roman"/>
          <w:sz w:val="26"/>
          <w:szCs w:val="26"/>
        </w:rPr>
        <w:t xml:space="preserve">   «</w:t>
      </w:r>
      <w:r>
        <w:rPr>
          <w:rStyle w:val="934"/>
          <w:rFonts w:eastAsia="Times New Roman" w:cs="Times New Roman"/>
          <w:sz w:val="26"/>
          <w:szCs w:val="26"/>
        </w:rPr>
        <w:t xml:space="preserve">___»____________20__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jc w:val="both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Федеральное государственное бюджетное образовательное учреждение высшего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образования «Башкирский государственный медицинский университет» Министерства здравоохранения Российской Федерации, именуемое в дальнейшем «Университет», действующее на основании лицензии на осуществление образовательной деятельности от 15.07.2016 № 2272</w:t>
      </w:r>
      <w:r>
        <w:rPr>
          <w:rStyle w:val="934"/>
          <w:rFonts w:eastAsia="Times New Roman" w:cs="Times New Roman"/>
          <w:sz w:val="26"/>
          <w:szCs w:val="26"/>
        </w:rPr>
        <w:t xml:space="preserve"> </w:t>
      </w:r>
      <w:bookmarkStart w:id="0" w:name="_Hlk233619380"/>
      <w:r>
        <w:rPr>
          <w:rStyle w:val="934"/>
          <w:rFonts w:eastAsia="Times New Roman" w:cs="Times New Roman"/>
          <w:sz w:val="26"/>
          <w:szCs w:val="26"/>
        </w:rPr>
        <w:t xml:space="preserve">(</w:t>
      </w:r>
      <w:r>
        <w:rPr>
          <w:rStyle w:val="934"/>
          <w:rFonts w:eastAsia="Times New Roman" w:cs="Times New Roman"/>
          <w:sz w:val="26"/>
          <w:szCs w:val="26"/>
        </w:rPr>
        <w:t xml:space="preserve">Регистрационный номер лицензии: № Л035-00115-02/00097097</w:t>
      </w:r>
      <w:r>
        <w:rPr>
          <w:rStyle w:val="934"/>
          <w:rFonts w:eastAsia="Times New Roman" w:cs="Times New Roman"/>
          <w:sz w:val="26"/>
          <w:szCs w:val="26"/>
        </w:rPr>
        <w:t xml:space="preserve">)</w:t>
      </w:r>
      <w:r>
        <w:rPr>
          <w:rStyle w:val="934"/>
          <w:rFonts w:eastAsia="Times New Roman" w:cs="Times New Roman"/>
          <w:sz w:val="26"/>
          <w:szCs w:val="26"/>
        </w:rPr>
        <w:t xml:space="preserve">,</w:t>
      </w:r>
      <w:r>
        <w:rPr>
          <w:rStyle w:val="934"/>
          <w:rFonts w:eastAsia="Times New Roman" w:cs="Times New Roman"/>
          <w:sz w:val="26"/>
          <w:szCs w:val="26"/>
        </w:rPr>
        <w:t xml:space="preserve"> </w:t>
      </w:r>
      <w:bookmarkEnd w:id="0"/>
      <w:r>
        <w:rPr>
          <w:rStyle w:val="934"/>
          <w:rFonts w:eastAsia="Times New Roman" w:cs="Times New Roman"/>
          <w:sz w:val="26"/>
          <w:szCs w:val="26"/>
        </w:rPr>
        <w:t xml:space="preserve">выданной Федеральной службой по надзору в сфере образования и науки, и свидетельства о государственной аккредитации от 23.12.2019 № 3300, в лице проректора по учебной работе Изосимовой Вероники Евгеньевны,</w:t>
      </w:r>
      <w:r>
        <w:rPr>
          <w:rStyle w:val="939"/>
          <w:rFonts w:eastAsia="Times New Roman" w:cs="Times New Roman"/>
          <w:sz w:val="26"/>
          <w:szCs w:val="26"/>
          <w:vertAlign w:val="superscript"/>
        </w:rPr>
        <w:t xml:space="preserve"> </w:t>
      </w:r>
      <w:r>
        <w:rPr>
          <w:rStyle w:val="934"/>
          <w:rFonts w:eastAsia="Times New Roman" w:cs="Times New Roman"/>
          <w:sz w:val="26"/>
          <w:szCs w:val="26"/>
        </w:rPr>
        <w:t xml:space="preserve">действующего на основании доверенности 237/2025 от 23.12.2025 с одной стороны и </w:t>
      </w:r>
      <w:r>
        <w:rPr>
          <w:rStyle w:val="934"/>
          <w:rFonts w:eastAsia="Times New Roman" w:cs="Times New Roman"/>
          <w:sz w:val="26"/>
          <w:szCs w:val="26"/>
        </w:rPr>
        <w:br/>
      </w:r>
      <w:r>
        <w:rPr>
          <w:rStyle w:val="934"/>
          <w:rFonts w:eastAsia="Times New Roman" w:cs="Times New Roman"/>
          <w:sz w:val="26"/>
          <w:szCs w:val="26"/>
        </w:rPr>
        <w:t xml:space="preserve">______________________________________________________________________________, 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ind w:firstLine="0"/>
        <w:jc w:val="both"/>
        <w:spacing w:after="80"/>
        <w:shd w:val="clear" w:color="auto" w:fill="auto"/>
        <w:tabs>
          <w:tab w:val="left" w:pos="1080" w:leader="underscore"/>
          <w:tab w:val="left" w:pos="7450" w:leader="underscore"/>
          <w:tab w:val="left" w:pos="8806" w:leader="underscore"/>
          <w:tab w:val="left" w:pos="9221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  <w:vertAlign w:val="superscript"/>
        </w:rPr>
        <w:t xml:space="preserve">                                                                                     (указывается ФИО лица, зачисляемого на обучение) 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52"/>
        <w:jc w:val="both"/>
        <w:spacing w:after="300"/>
        <w:shd w:val="clear" w:color="auto" w:fill="auto"/>
        <w:rPr>
          <w:rFonts w:cs="Times New Roman"/>
          <w:sz w:val="26"/>
          <w:szCs w:val="26"/>
        </w:rPr>
      </w:pPr>
      <w:r>
        <w:rPr>
          <w:rStyle w:val="939"/>
          <w:rFonts w:eastAsia="Times New Roman" w:cs="Times New Roman"/>
          <w:sz w:val="26"/>
          <w:szCs w:val="26"/>
        </w:rPr>
        <w:t xml:space="preserve">(далее - «Обучающийся») с другой стороны (далее совместно – Стороны), заключили </w:t>
      </w:r>
      <w:r>
        <w:rPr>
          <w:rStyle w:val="939"/>
          <w:rFonts w:eastAsia="Times New Roman" w:cs="Times New Roman"/>
          <w:sz w:val="26"/>
          <w:szCs w:val="26"/>
        </w:rPr>
        <w:br/>
        <w:t xml:space="preserve">настоящий Договор (далее - Договор) о нижеследующем: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numPr>
          <w:ilvl w:val="0"/>
          <w:numId w:val="11"/>
        </w:numPr>
        <w:jc w:val="center"/>
        <w:spacing w:after="80"/>
        <w:shd w:val="clear" w:color="auto" w:fill="auto"/>
        <w:tabs>
          <w:tab w:val="left" w:pos="294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b/>
          <w:sz w:val="26"/>
          <w:szCs w:val="26"/>
        </w:rPr>
        <w:t xml:space="preserve">Предмет настоящего договора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numPr>
          <w:ilvl w:val="1"/>
          <w:numId w:val="2"/>
        </w:numPr>
        <w:ind w:firstLine="720"/>
        <w:jc w:val="both"/>
        <w:shd w:val="clear" w:color="auto" w:fill="auto"/>
        <w:tabs>
          <w:tab w:val="clear" w:pos="0" w:leader="none"/>
          <w:tab w:val="left" w:pos="1270" w:leader="none"/>
        </w:tabs>
        <w:rPr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 Университет  обязуется предос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тавить образовательную услугу, а Обучающийся обязуется оплатить образовательную услугу по обучению Обучающегося по основной профессиональной образовательной программе среднего профессионального образования– программе подготовки специалистов среднего звена </w:t>
      </w:r>
      <w:r>
        <w:rPr>
          <w:highlight w:val="white"/>
        </w:rPr>
        <w:t xml:space="preserve">_____________________________________________________________________________________________________</w:t>
      </w:r>
      <w:r>
        <w:rPr>
          <w:highlight w:val="white"/>
        </w:rPr>
      </w:r>
      <w:r>
        <w:rPr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    (код и наименование специальности)</w:t>
      </w:r>
      <w:r>
        <w:rPr>
          <w:highlight w:val="white"/>
        </w:rPr>
      </w:r>
      <w:r>
        <w:rPr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____________________________________________________________________________________________________ </w:t>
      </w:r>
      <w:r>
        <w:rPr>
          <w:highlight w:val="white"/>
        </w:rPr>
      </w:r>
      <w:r>
        <w:rPr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(уровень образования - </w:t>
      </w:r>
      <w:r>
        <w:rPr>
          <w:highlight w:val="white"/>
        </w:rPr>
        <w:t xml:space="preserve">с</w:t>
      </w:r>
      <w:r>
        <w:rPr>
          <w:highlight w:val="white"/>
        </w:rPr>
        <w:t xml:space="preserve">р</w:t>
      </w:r>
      <w:r>
        <w:rPr>
          <w:highlight w:val="white"/>
        </w:rPr>
        <w:t xml:space="preserve">е</w:t>
      </w:r>
      <w:r>
        <w:rPr>
          <w:highlight w:val="white"/>
        </w:rPr>
        <w:t xml:space="preserve">д</w:t>
      </w:r>
      <w:r>
        <w:rPr>
          <w:highlight w:val="white"/>
        </w:rPr>
        <w:t xml:space="preserve">н</w:t>
      </w:r>
      <w:r>
        <w:rPr>
          <w:highlight w:val="white"/>
        </w:rPr>
        <w:t xml:space="preserve">е</w:t>
      </w:r>
      <w:r>
        <w:rPr>
          <w:highlight w:val="white"/>
        </w:rPr>
        <w:t xml:space="preserve">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п</w:t>
      </w:r>
      <w:r>
        <w:rPr>
          <w:highlight w:val="white"/>
        </w:rPr>
        <w:t xml:space="preserve">р</w:t>
      </w:r>
      <w:r>
        <w:rPr>
          <w:highlight w:val="white"/>
        </w:rPr>
        <w:t xml:space="preserve">о</w:t>
      </w:r>
      <w:r>
        <w:rPr>
          <w:highlight w:val="white"/>
        </w:rPr>
        <w:t xml:space="preserve">ф</w:t>
      </w:r>
      <w:r>
        <w:rPr>
          <w:highlight w:val="white"/>
        </w:rPr>
        <w:t xml:space="preserve">е</w:t>
      </w:r>
      <w:r>
        <w:rPr>
          <w:highlight w:val="white"/>
        </w:rPr>
        <w:t xml:space="preserve">с</w:t>
      </w:r>
      <w:r>
        <w:rPr>
          <w:highlight w:val="white"/>
        </w:rPr>
        <w:t xml:space="preserve">с</w:t>
      </w:r>
      <w:r>
        <w:rPr>
          <w:highlight w:val="white"/>
        </w:rPr>
        <w:t xml:space="preserve">и</w:t>
      </w:r>
      <w:r>
        <w:rPr>
          <w:highlight w:val="white"/>
        </w:rPr>
        <w:t xml:space="preserve">о</w:t>
      </w:r>
      <w:r>
        <w:rPr>
          <w:highlight w:val="white"/>
        </w:rPr>
        <w:t xml:space="preserve">н</w:t>
      </w:r>
      <w:r>
        <w:rPr>
          <w:highlight w:val="white"/>
        </w:rPr>
        <w:t xml:space="preserve">а</w:t>
      </w:r>
      <w:r>
        <w:rPr>
          <w:highlight w:val="white"/>
        </w:rPr>
        <w:t xml:space="preserve">л</w:t>
      </w:r>
      <w:r>
        <w:rPr>
          <w:highlight w:val="white"/>
        </w:rPr>
        <w:t xml:space="preserve">ь</w:t>
      </w:r>
      <w:r>
        <w:rPr>
          <w:highlight w:val="white"/>
        </w:rPr>
        <w:t xml:space="preserve">н</w:t>
      </w:r>
      <w:r>
        <w:rPr>
          <w:highlight w:val="white"/>
        </w:rPr>
        <w:t xml:space="preserve">о</w:t>
      </w:r>
      <w:r>
        <w:rPr>
          <w:highlight w:val="white"/>
        </w:rPr>
        <w:t xml:space="preserve">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о</w:t>
      </w:r>
      <w:r>
        <w:rPr>
          <w:highlight w:val="white"/>
        </w:rPr>
        <w:t xml:space="preserve">б</w:t>
      </w:r>
      <w:r>
        <w:rPr>
          <w:highlight w:val="white"/>
        </w:rPr>
        <w:t xml:space="preserve">р</w:t>
      </w:r>
      <w:r>
        <w:rPr>
          <w:highlight w:val="white"/>
        </w:rPr>
        <w:t xml:space="preserve">а</w:t>
      </w:r>
      <w:r>
        <w:rPr>
          <w:highlight w:val="white"/>
        </w:rPr>
        <w:t xml:space="preserve">з</w:t>
      </w:r>
      <w:r>
        <w:rPr>
          <w:highlight w:val="white"/>
        </w:rPr>
        <w:t xml:space="preserve">о</w:t>
      </w:r>
      <w:r>
        <w:rPr>
          <w:highlight w:val="white"/>
        </w:rPr>
        <w:t xml:space="preserve">в</w:t>
      </w:r>
      <w:r>
        <w:rPr>
          <w:highlight w:val="white"/>
        </w:rPr>
        <w:t xml:space="preserve">а</w:t>
      </w:r>
      <w:r>
        <w:rPr>
          <w:highlight w:val="white"/>
        </w:rPr>
        <w:t xml:space="preserve">н</w:t>
      </w:r>
      <w:r>
        <w:rPr>
          <w:highlight w:val="white"/>
        </w:rPr>
        <w:t xml:space="preserve">и</w:t>
      </w:r>
      <w:r>
        <w:rPr>
          <w:highlight w:val="white"/>
        </w:rPr>
        <w:t xml:space="preserve">е</w:t>
      </w:r>
      <w:r>
        <w:rPr>
          <w:highlight w:val="white"/>
        </w:rPr>
        <w:t xml:space="preserve">) </w:t>
      </w:r>
      <w:r>
        <w:rPr>
          <w:highlight w:val="white"/>
        </w:rPr>
      </w:r>
      <w:r>
        <w:rPr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____________________________________________________________________________________________________   </w:t>
      </w:r>
      <w:r>
        <w:rPr>
          <w:highlight w:val="white"/>
        </w:rPr>
      </w:r>
      <w:r>
        <w:rPr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1270" w:leader="none"/>
        </w:tabs>
        <w:rPr>
          <w:highlight w:val="white"/>
        </w:rPr>
      </w:pPr>
      <w:r>
        <w:rPr>
          <w:highlight w:val="white"/>
        </w:rPr>
        <w:t xml:space="preserve">                                                             (направленность (профиль) образовательной программы) </w:t>
      </w:r>
      <w:r>
        <w:rPr>
          <w:highlight w:val="white"/>
        </w:rPr>
      </w:r>
      <w:r>
        <w:rPr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по ________ форме обучения в пределах ФГОС, в соответствии с учебными планами, в том числе индивидуальными, и образовательными программами Университета. Вид образования – профессиональное образовани</w:t>
      </w:r>
      <w:r>
        <w:rPr>
          <w:sz w:val="26"/>
          <w:szCs w:val="26"/>
          <w:highlight w:val="white"/>
        </w:rPr>
        <w:t xml:space="preserve">е.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947"/>
        <w:numPr>
          <w:ilvl w:val="1"/>
          <w:numId w:val="2"/>
        </w:numPr>
        <w:ind w:firstLine="72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Нормативный срок освоения основной профессиональной образовательной программы среднего профессионального  образования составляет _______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ab/>
        <w:t xml:space="preserve">года (лет)____ месяцев.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947"/>
        <w:ind w:firstLine="720"/>
        <w:jc w:val="both"/>
        <w:shd w:val="clear" w:color="auto" w:fill="auto"/>
        <w:tabs>
          <w:tab w:val="left" w:pos="1270" w:leader="none"/>
        </w:tabs>
        <w:rPr>
          <w:rFonts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Срок освоения основной профессиональной образовательной программы среднего профессионального образования  обучающимся на момент заключения настоящего договора составляет _______года (лет)____ месяцев.</w:t>
      </w:r>
      <w:r>
        <w:rPr>
          <w:rFonts w:cs="Times New Roman"/>
          <w:sz w:val="26"/>
          <w:szCs w:val="26"/>
          <w:highlight w:val="white"/>
        </w:rPr>
      </w:r>
      <w:r>
        <w:rPr>
          <w:rFonts w:cs="Times New Roman"/>
          <w:sz w:val="26"/>
          <w:szCs w:val="26"/>
          <w:highlight w:val="white"/>
        </w:rPr>
      </w:r>
    </w:p>
    <w:p>
      <w:pPr>
        <w:pStyle w:val="947"/>
        <w:ind w:firstLine="0"/>
        <w:jc w:val="both"/>
        <w:shd w:val="clear" w:color="auto" w:fill="auto"/>
        <w:tabs>
          <w:tab w:val="left" w:pos="0" w:leader="underscore"/>
          <w:tab w:val="left" w:pos="3960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           1.3. После освоения Обучающимся основной профессиональной образовательной </w:t>
      </w:r>
      <w:r>
        <w:rPr>
          <w:rStyle w:val="934"/>
          <w:rFonts w:eastAsia="Times New Roman" w:cs="Times New Roman"/>
          <w:sz w:val="26"/>
          <w:szCs w:val="26"/>
        </w:rPr>
        <w:t xml:space="preserve">программы </w:t>
      </w:r>
      <w:r>
        <w:rPr>
          <w:rStyle w:val="934"/>
          <w:rFonts w:eastAsia="Times New Roman" w:cs="Times New Roman"/>
          <w:sz w:val="26"/>
          <w:szCs w:val="26"/>
        </w:rPr>
        <w:t xml:space="preserve">и успешного прохождения государственной итоговой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аттестации ему выдается диплом о среднем профессиональном образовании.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ind w:firstLine="0"/>
        <w:jc w:val="both"/>
        <w:spacing w:after="220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              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и (или) отчисленному из Университета, выдается справка об обучении или о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периоде обучения </w:t>
      </w:r>
      <w:r>
        <w:rPr>
          <w:rStyle w:val="934"/>
          <w:rFonts w:eastAsia="Times New Roman" w:cs="Times New Roman"/>
          <w:sz w:val="26"/>
          <w:szCs w:val="26"/>
        </w:rPr>
        <w:t xml:space="preserve">по образцу, самостоятельно устанавливаемому Университетом.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53"/>
        <w:ind w:left="3420"/>
        <w:jc w:val="left"/>
        <w:keepLines/>
        <w:keepNext/>
        <w:spacing w:after="120"/>
        <w:shd w:val="clear" w:color="auto" w:fill="auto"/>
        <w:tabs>
          <w:tab w:val="left" w:pos="3735" w:leader="none"/>
        </w:tabs>
        <w:rPr>
          <w:rFonts w:cs="Times New Roman"/>
          <w:sz w:val="26"/>
          <w:szCs w:val="26"/>
        </w:rPr>
      </w:pPr>
      <w:r/>
      <w:bookmarkStart w:id="1" w:name="bookmark2"/>
      <w:r/>
      <w:bookmarkStart w:id="2" w:name="bookmark3"/>
      <w:r>
        <w:rPr>
          <w:rStyle w:val="940"/>
          <w:rFonts w:eastAsia="Times New Roman" w:cs="Times New Roman"/>
          <w:b/>
          <w:bCs/>
          <w:sz w:val="26"/>
          <w:szCs w:val="26"/>
        </w:rPr>
        <w:t xml:space="preserve">2. Права и обязанности Сторон</w:t>
      </w:r>
      <w:bookmarkEnd w:id="1"/>
      <w:r/>
      <w:bookmarkEnd w:id="2"/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2.1. Университет вправе: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2616" w:leader="underscore"/>
          <w:tab w:val="left" w:pos="3960" w:leader="underscor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2.1.2. Применять к Обучающемуся меры поощрения и меры дисциплинарного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взыскания в соответствии с законодательством Российской Федерации, Уставом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Университета, настоящим договором и локальными нормативными актами Университета.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 Обучающийся вправе: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2.2.1. Получать информацию от Университета по вопросам организации и обеспечения надлежащего предоставления услуг, предусмотренных разделом 1 настоящего договора.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2.2.2. Пользоваться в порядке, установленном локальными нормативными актами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Университета, имуществом Университета, необходимым для освоения основной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профессиональной образовательной программы среднего профессионального образования.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2.2.3. Принимать в порядке, установленном локальными нормативными актами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Университета, участие в культурно-массовых, физкультурных, оздоровительных и иных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мероприятиях, организованных Университетом.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8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2.2.4. 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33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2.2.5. Заниматься научной деятельностью.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3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2.2.6. Обучающемуся предоставляются иные академические права в соответствии с частью 1 статьи 34 Федерального закона от 29.12.2012 № 273-ФЗ «Об образовании в </w:t>
      </w:r>
      <w:r>
        <w:rPr>
          <w:rStyle w:val="934"/>
          <w:rFonts w:eastAsia="Times New Roman" w:cs="Times New Roman"/>
          <w:sz w:val="26"/>
          <w:szCs w:val="26"/>
        </w:rPr>
        <w:br/>
        <w:t xml:space="preserve">Российской Федерации».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2.3. Университет обязан: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pacing w:after="120"/>
        <w:shd w:val="clear" w:color="auto" w:fill="auto"/>
        <w:tabs>
          <w:tab w:val="left" w:pos="1318" w:leader="none"/>
        </w:tabs>
        <w:rPr>
          <w:rStyle w:val="934"/>
          <w:rFonts w:eastAsia="Times New Roman"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2.3.1</w:t>
      </w:r>
      <w:r>
        <w:rPr>
          <w:rStyle w:val="934"/>
          <w:rFonts w:eastAsia="Times New Roman" w:cs="Times New Roman"/>
          <w:color w:val="ff0000"/>
          <w:sz w:val="26"/>
          <w:szCs w:val="26"/>
        </w:rPr>
        <w:t xml:space="preserve">. </w:t>
      </w:r>
      <w:r>
        <w:rPr>
          <w:rStyle w:val="934"/>
          <w:rFonts w:eastAsia="Times New Roman" w:cs="Times New Roman"/>
          <w:sz w:val="26"/>
          <w:szCs w:val="26"/>
        </w:rPr>
        <w:t xml:space="preserve">Зачислить Обучающегося, за обучение которого произведена оплата, в  </w:t>
      </w:r>
      <w:r>
        <w:rPr>
          <w:rStyle w:val="934"/>
          <w:rFonts w:eastAsia="Times New Roman" w:cs="Times New Roman"/>
          <w:sz w:val="26"/>
          <w:szCs w:val="26"/>
        </w:rPr>
        <w:t xml:space="preserve">качестве студента.</w:t>
      </w:r>
      <w:r>
        <w:rPr>
          <w:rStyle w:val="934"/>
          <w:rFonts w:eastAsia="Times New Roman" w:cs="Times New Roman"/>
          <w:sz w:val="26"/>
          <w:szCs w:val="26"/>
        </w:rPr>
      </w:r>
      <w:r>
        <w:rPr>
          <w:rStyle w:val="934"/>
          <w:rFonts w:eastAsia="Times New Roman" w:cs="Times New Roman"/>
          <w:sz w:val="26"/>
          <w:szCs w:val="26"/>
        </w:rPr>
      </w:r>
    </w:p>
    <w:p>
      <w:pPr>
        <w:pStyle w:val="94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в следующем порядке, отмеченном знаком «X»: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4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□– в порядке зачисления Обучающегося, выполнившего установленные законодательством Российской Федерации, Уставом Университета, локальными нормативными актами Университета условия приема;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4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 □– в порядке восстановления Обучающегося при условии отсутствия задолженности по оплате обучения; </w:t>
      </w:r>
      <w:r>
        <w:rPr>
          <w:rFonts w:eastAsia="Times New Roman" w:cs="Times New Roman"/>
          <w:sz w:val="26"/>
          <w:szCs w:val="26"/>
          <w:highlight w:val="whit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4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non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□ – в порядке зачисления Обучающегося в связи с переводом из другой образовательной организации,</w:t>
      </w:r>
      <w:r>
        <w:rPr>
          <w:rFonts w:eastAsia="Times New Roman" w:cs="Times New Roman"/>
          <w:sz w:val="26"/>
          <w:szCs w:val="26"/>
          <w:highlight w:val="none"/>
        </w:rPr>
      </w:r>
      <w:r>
        <w:rPr>
          <w:rFonts w:eastAsia="Times New Roman" w:cs="Times New Roman"/>
          <w:sz w:val="26"/>
          <w:szCs w:val="26"/>
          <w:highlight w:val="none"/>
        </w:rPr>
      </w:r>
    </w:p>
    <w:p>
      <w:pPr>
        <w:pStyle w:val="947"/>
        <w:ind w:firstLine="0"/>
        <w:jc w:val="both"/>
        <w:shd w:val="clear" w:color="auto" w:fill="auto"/>
        <w:tabs>
          <w:tab w:val="left" w:pos="2410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начиная со следующего семестра обучения:</w:t>
      </w:r>
      <w:r>
        <w:rPr>
          <w:rFonts w:ascii="Times New Roman" w:hAnsi="Times New Roman" w:eastAsia="Times New Roman" w:cs="Times New Roman"/>
          <w:color w:val="000000"/>
        </w:rPr>
        <w:t xml:space="preserve"> ____________________________,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947"/>
        <w:ind w:firstLine="709"/>
        <w:jc w:val="both"/>
        <w:shd w:val="clear" w:color="auto" w:fill="auto"/>
        <w:tabs>
          <w:tab w:val="left" w:pos="2410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                                    </w:t>
      </w:r>
      <w:r>
        <w:rPr>
          <w:rStyle w:val="934"/>
          <w:rFonts w:eastAsia="Times New Roman" w:cs="Times New Roman"/>
          <w:sz w:val="26"/>
          <w:szCs w:val="26"/>
          <w:highlight w:val="none"/>
        </w:rPr>
        <w:t xml:space="preserve">        </w:t>
      </w:r>
      <w:r>
        <w:rPr>
          <w:rStyle w:val="934"/>
          <w:rFonts w:eastAsia="Times New Roman" w:cs="Times New Roman"/>
          <w:sz w:val="20"/>
          <w:szCs w:val="20"/>
          <w:highlight w:val="none"/>
        </w:rPr>
        <w:t xml:space="preserve">  (указать семестр обучения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947"/>
        <w:ind w:firstLine="0"/>
        <w:jc w:val="both"/>
        <w:shd w:val="clear" w:color="auto" w:fill="auto"/>
        <w:tabs>
          <w:tab w:val="left" w:pos="2410" w:leader="none"/>
        </w:tabs>
        <w:rPr>
          <w:rFonts w:ascii="Times New Roman" w:hAnsi="Times New Roman" w:eastAsia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начиная со следующего курса</w:t>
      </w:r>
      <w:r>
        <w:rPr>
          <w:rFonts w:ascii="Times New Roman" w:hAnsi="Times New Roman" w:eastAsia="Times New Roman" w:cs="Times New Roman"/>
          <w:color w:val="000000"/>
        </w:rPr>
        <w:t xml:space="preserve">:____________________________.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947"/>
        <w:ind w:firstLine="709"/>
        <w:jc w:val="both"/>
        <w:spacing w:after="80"/>
        <w:shd w:val="clear" w:color="auto" w:fill="auto"/>
        <w:tabs>
          <w:tab w:val="left" w:pos="2410" w:leader="none"/>
        </w:tabs>
        <w:rPr>
          <w:rFonts w:eastAsia="Times New Roman" w:cs="Times New Roman"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none"/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color w:val="000000"/>
        </w:rPr>
        <w:t xml:space="preserve">  (указать курс)</w:t>
      </w:r>
      <w:r>
        <w:rPr>
          <w:rStyle w:val="934"/>
          <w:rFonts w:eastAsia="Times New Roman" w:cs="Times New Roman"/>
          <w:sz w:val="26"/>
          <w:szCs w:val="26"/>
          <w:highlight w:val="none"/>
        </w:rPr>
        <w:t xml:space="preserve">  </w:t>
      </w:r>
      <w:r>
        <w:rPr>
          <w:rFonts w:eastAsia="Times New Roman" w:cs="Times New Roman"/>
          <w:sz w:val="26"/>
          <w:szCs w:val="26"/>
          <w:highlight w:val="none"/>
        </w:rPr>
      </w:r>
      <w:r>
        <w:rPr>
          <w:rFonts w:eastAsia="Times New Roman" w:cs="Times New Roman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8995" w:leader="underscore"/>
          <w:tab w:val="left" w:pos="9648" w:leader="underscor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Зачисление в Университет в соответствии с настоящим договором производится в 20__/20___учебном году на основании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приказа ректора или уполномоченного им лица </w:t>
      </w:r>
      <w:r>
        <w:rPr>
          <w:rStyle w:val="934"/>
          <w:rFonts w:eastAsia="Times New Roman" w:cs="Times New Roman"/>
          <w:sz w:val="26"/>
          <w:szCs w:val="26"/>
        </w:rPr>
        <w:t xml:space="preserve">в </w:t>
      </w:r>
      <w:r>
        <w:rPr>
          <w:rStyle w:val="934"/>
          <w:rFonts w:eastAsia="Times New Roman" w:cs="Times New Roman"/>
          <w:sz w:val="26"/>
          <w:szCs w:val="26"/>
        </w:rPr>
        <w:t xml:space="preserve">сроки, установленные правилами приема и (или) иными локальными нормативными актами Университета.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2.3.2. Довести до Обучающегося информацию, содержащую сведения</w:t>
      </w:r>
      <w:r>
        <w:rPr>
          <w:rStyle w:val="934"/>
          <w:rFonts w:eastAsia="Times New Roman" w:cs="Times New Roman"/>
          <w:sz w:val="26"/>
          <w:szCs w:val="26"/>
        </w:rPr>
        <w:t xml:space="preserve"> о предоставлении платных образовательных услуг, в порядке и объеме, которые предусмотрены Федеральным законом от 29.12.2012 № 273-ФЗ «Об образовании в Российской Федерации», Законом Российской Федерации от 07.02.1992 № 2300-1 «О защите прав потребителей».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2.3.3. Организовать и обеспечить надлежащее предоставление об</w:t>
      </w:r>
      <w:r>
        <w:rPr>
          <w:rStyle w:val="934"/>
          <w:rFonts w:eastAsia="Times New Roman" w:cs="Times New Roman"/>
          <w:sz w:val="26"/>
          <w:szCs w:val="26"/>
        </w:rPr>
        <w:t xml:space="preserve">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Университета.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2.3.4. Обеспечить Обучающемуся предусмотренные выбранной основной профессиональной образовательной программой среднего профессионального образования условия ее освоения.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6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2.4.5. Принимать от Обучающегося плату за образовательные услуги.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78" w:leader="none"/>
        </w:tabs>
        <w:rPr>
          <w:rFonts w:cs="Times New Roman"/>
          <w:sz w:val="26"/>
          <w:szCs w:val="26"/>
        </w:rPr>
      </w:pPr>
      <w:r>
        <w:rPr>
          <w:rStyle w:val="934"/>
          <w:rFonts w:eastAsia="Times New Roman" w:cs="Times New Roman"/>
          <w:sz w:val="26"/>
          <w:szCs w:val="26"/>
        </w:rPr>
        <w:t xml:space="preserve">2.4. Обучающийся обязуется: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2.4.1. Посещать занятия согласно расписанию занятий, добросовестно выполнять все задания, предусмотренные </w:t>
      </w:r>
      <w:r>
        <w:rPr>
          <w:rStyle w:val="934"/>
          <w:sz w:val="26"/>
          <w:szCs w:val="26"/>
          <w:highlight w:val="white"/>
        </w:rPr>
        <w:t xml:space="preserve">учебным планом/ индивидуальным учебным планом и образовательными программами.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2.4.2. В установленные Университетом сроки проходить контроль и аттестацию знаний по каждому виду учебных занятий,</w:t>
      </w:r>
      <w:r>
        <w:rPr>
          <w:rStyle w:val="934"/>
          <w:sz w:val="26"/>
          <w:szCs w:val="26"/>
          <w:highlight w:val="white"/>
        </w:rPr>
        <w:t xml:space="preserve"> включенных в учебный план/ индивидуальный учебный план.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Style w:val="934"/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2.4.3. Соблюдать Устав Университета, Правила внутреннего распорядка обучающихся Университета, Правила внутреннего распорядка общежитий Университета, выполнять требования других локальных нормативных актов Университета, приказы и распоряжения </w:t>
      </w:r>
      <w:r>
        <w:rPr>
          <w:rStyle w:val="934"/>
          <w:sz w:val="26"/>
          <w:szCs w:val="26"/>
          <w:highlight w:val="white"/>
        </w:rPr>
        <w:t xml:space="preserve">ректора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или уполномоченного им лица</w:t>
      </w:r>
      <w:r>
        <w:rPr>
          <w:rStyle w:val="934"/>
          <w:sz w:val="26"/>
          <w:szCs w:val="26"/>
          <w:highlight w:val="white"/>
        </w:rPr>
        <w:t xml:space="preserve">,</w:t>
      </w:r>
      <w:r>
        <w:rPr>
          <w:rStyle w:val="934"/>
          <w:sz w:val="26"/>
          <w:szCs w:val="26"/>
        </w:rPr>
        <w:t xml:space="preserve"> распоряжения директора медицинского колледжа.</w:t>
      </w:r>
      <w:r>
        <w:rPr>
          <w:rStyle w:val="934"/>
          <w:sz w:val="26"/>
          <w:szCs w:val="26"/>
          <w:highlight w:val="white"/>
        </w:rPr>
        <w:t xml:space="preserve">.</w:t>
      </w:r>
      <w:r>
        <w:rPr>
          <w:rStyle w:val="934"/>
          <w:sz w:val="26"/>
          <w:szCs w:val="26"/>
          <w:highlight w:val="white"/>
        </w:rPr>
      </w:r>
      <w:r>
        <w:rPr>
          <w:rStyle w:val="934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cs="Times New Roman"/>
          <w:strike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2.4.4. При зачислении и в процессе обучения своевременно представлять Университету все необходимые документы.</w:t>
      </w:r>
      <w:r>
        <w:rPr>
          <w:rFonts w:cs="Times New Roman"/>
          <w:strike/>
          <w:sz w:val="26"/>
          <w:szCs w:val="26"/>
          <w:highlight w:val="white"/>
        </w:rPr>
      </w:r>
      <w:r>
        <w:rPr>
          <w:rFonts w:cs="Times New Roman"/>
          <w:strike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606" w:leader="none"/>
        </w:tabs>
        <w:rPr>
          <w:rFonts w:cs="Times New Roman"/>
          <w:strike/>
          <w:sz w:val="26"/>
          <w:szCs w:val="26"/>
          <w:highlight w:val="white"/>
        </w:rP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2.4.5. Своевременно производить плату за предоставляемые услуги по настоящему договору в размере, порядке и в сроки, установленные настоящим договором, а также предоставлять платежные документы, подтверждающие такую оплату.</w:t>
      </w:r>
      <w:r>
        <w:rPr>
          <w:rFonts w:cs="Times New Roman"/>
          <w:strike/>
          <w:sz w:val="26"/>
          <w:szCs w:val="26"/>
          <w:highlight w:val="white"/>
        </w:rPr>
      </w:r>
      <w:r>
        <w:rPr>
          <w:rFonts w:cs="Times New Roman"/>
          <w:strike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6" w:leader="none"/>
        </w:tabs>
        <w:rPr>
          <w:rStyle w:val="934"/>
          <w:rFonts w:eastAsia="Times New Roman" w:cs="Times New Roman"/>
          <w:color w:val="auto"/>
          <w:sz w:val="26"/>
          <w:szCs w:val="26"/>
          <w:highlight w:val="none"/>
        </w:rPr>
      </w:pPr>
      <w:r>
        <w:rPr>
          <w:rStyle w:val="934"/>
          <w:color w:val="auto"/>
          <w:sz w:val="26"/>
          <w:szCs w:val="26"/>
        </w:rPr>
        <w:t xml:space="preserve">2.4.6. Бережно относиться к имуществу, материальным ценностям Университета. </w:t>
      </w:r>
      <w:r>
        <w:rPr>
          <w:rStyle w:val="934"/>
          <w:rFonts w:eastAsia="Times New Roman" w:cs="Times New Roman"/>
          <w:color w:val="auto"/>
          <w:sz w:val="26"/>
          <w:szCs w:val="26"/>
          <w:highlight w:val="white"/>
        </w:rPr>
        <w:t xml:space="preserve">Возмещать ущерб, причиненный имуществу Университета, в соответствии с законодательством Российской Федерации</w:t>
      </w:r>
      <w:r>
        <w:rPr>
          <w:rStyle w:val="934"/>
          <w:rFonts w:eastAsia="Times New Roman" w:cs="Times New Roman"/>
          <w:color w:val="auto"/>
          <w:sz w:val="26"/>
          <w:szCs w:val="26"/>
          <w:highlight w:val="white"/>
        </w:rPr>
        <w:t xml:space="preserve">.</w:t>
      </w:r>
      <w:r>
        <w:rPr>
          <w:rStyle w:val="934"/>
          <w:rFonts w:eastAsia="Times New Roman" w:cs="Times New Roman"/>
          <w:color w:val="auto"/>
          <w:sz w:val="26"/>
          <w:szCs w:val="26"/>
          <w:highlight w:val="none"/>
        </w:rPr>
      </w:r>
      <w:r>
        <w:rPr>
          <w:rStyle w:val="934"/>
          <w:rFonts w:eastAsia="Times New Roman" w:cs="Times New Roman"/>
          <w:color w:val="auto"/>
          <w:sz w:val="26"/>
          <w:szCs w:val="26"/>
          <w:highlight w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color w:val="auto"/>
          <w:sz w:val="26"/>
          <w:szCs w:val="26"/>
          <w:highlight w:val="white"/>
        </w:rPr>
        <w:t xml:space="preserve">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2.4.6.1.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В случае повреждения, уничтожения, утраты или ухудшения состояния имущества Университета по вине Обучающегося, за исключением нормального естественного износа, Обучающийся обязан возместить Университету фактически причиненный ущерб в полно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м объеме в соответствии со ст. 15, 393, 1064 Гражданского кодекса Российской Федерации.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2.4.6.2.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Факт причинения ущерба оформляется актом, составленным представителями Университета. В акте указываются дата, место, характер повреждения, перечень поврежденного имущества, предполагаемые обстоятельства причинения ущерба и объяснения Обучающегося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при их наличии.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2.4.6.3.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Размер ущерба определяется на основании документов, подтверждающих стоимость ремонта, восстановления или замены имущества, в том числе сметы, счета, акта выполненных работ, заключения специалиста, документов бухгалтерского учета или иных подтверждающих док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ументов.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.6.4.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Обучающийся вправе представить письменные объяснения и возражения относительно факта причинения ущерба, размера ущерба и наличия своей вины.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eastAsia="Times New Roman" w:cs="Times New Roman"/>
          <w:sz w:val="26"/>
          <w:szCs w:val="2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2.4.6.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5.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 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Добровольное возмещение ущерба производится в срок, установленный письменным требованием Университета. В случае отказа от добровольного возмещения ущерба при установленном факте его причинения Университет вправе взыскать сумму ущерба в судебном порядке.</w:t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  <w:r>
        <w:rPr>
          <w:rFonts w:eastAsia="Times New Roman" w:cs="Times New Roman"/>
          <w:sz w:val="26"/>
          <w:szCs w:val="26"/>
          <w:highlight w:val="white"/>
          <w14:ligatures w14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1" w:leader="none"/>
        </w:tabs>
        <w:rPr>
          <w:rFonts w:ascii="Segoe UI" w:hAnsi="Segoe UI" w:eastAsia="Segoe UI" w:cs="Segoe UI"/>
          <w:sz w:val="23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2.4.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6.6. П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ричинение ущерба имуществу Университета может рассматриваться как нарушение правил внутреннего распорядка, правил проживания, локальных нормативных актов Университета и обязанностей обучающегося, п</w:t>
      </w:r>
      <w:r>
        <w:rPr>
          <w:rStyle w:val="934"/>
          <w:rFonts w:eastAsia="Times New Roman" w:cs="Times New Roman"/>
          <w:sz w:val="26"/>
          <w:szCs w:val="26"/>
          <w:highlight w:val="white"/>
        </w:rPr>
        <w:t xml:space="preserve">редусмотренных ст. 43 Федерального закона от 29.12.2012 N 273-ФЗ "Об образовании в Российской Федерации", и может повлечь применение мер дисциплинарного взыскания, включая отчисление, с соблюдением установленного законом порядка.</w:t>
      </w:r>
      <w:r>
        <w:rPr>
          <w:rFonts w:ascii="Segoe UI" w:hAnsi="Segoe UI" w:eastAsia="Segoe UI" w:cs="Segoe UI"/>
          <w:sz w:val="23"/>
        </w:rPr>
      </w:r>
      <w:r>
        <w:rPr>
          <w:rFonts w:ascii="Segoe UI" w:hAnsi="Segoe UI" w:eastAsia="Segoe UI" w:cs="Segoe UI"/>
          <w:sz w:val="23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26" w:leader="none"/>
        </w:tabs>
        <w:rPr>
          <w:sz w:val="26"/>
          <w:szCs w:val="26"/>
        </w:rPr>
      </w:pPr>
      <w:r>
        <w:rPr>
          <w:rStyle w:val="934"/>
          <w:color w:val="auto"/>
          <w:sz w:val="26"/>
          <w:szCs w:val="26"/>
        </w:rPr>
        <w:t xml:space="preserve">2.4.7. В случае отчисления возвратить все полученные в течение срока обучения во временное пользование какие-либо </w:t>
      </w:r>
      <w:r>
        <w:rPr>
          <w:rStyle w:val="934"/>
          <w:sz w:val="26"/>
          <w:szCs w:val="26"/>
        </w:rPr>
        <w:t xml:space="preserve">материальные ценности (библиотечные книги, оборудование, спецодежду и проч.). Возврат материальных ценностей производится до издания приказа об отчислении в состоянии, пригодном для дальнейшего использования, </w:t>
      </w:r>
      <w:r>
        <w:rPr>
          <w:rStyle w:val="934"/>
          <w:sz w:val="26"/>
          <w:szCs w:val="26"/>
        </w:rPr>
        <w:t xml:space="preserve"> или производится возмещение их стоимости.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2.4.8. В течение трех рабочих дней письменно извещать Университет о причинах пропуска занятий. </w:t>
      </w:r>
      <w:r>
        <w:rPr>
          <w:rStyle w:val="934"/>
          <w:sz w:val="26"/>
          <w:szCs w:val="26"/>
          <w:highlight w:val="white"/>
        </w:rPr>
        <w:t xml:space="preserve">Извещение направляется на имя директора медицинского колледжа.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2.4.9. Пользоваться электронной почтой Университета с доменным именем </w:t>
      </w:r>
      <w:r>
        <w:rPr>
          <w:rStyle w:val="934"/>
          <w:sz w:val="26"/>
          <w:szCs w:val="26"/>
          <w:u w:val="single"/>
          <w:lang w:eastAsia="en-US"/>
        </w:rPr>
        <w:t xml:space="preserve">@</w:t>
      </w:r>
      <w:r>
        <w:rPr>
          <w:rStyle w:val="934"/>
          <w:sz w:val="26"/>
          <w:szCs w:val="26"/>
          <w:u w:val="single"/>
          <w:lang w:val="en-US" w:eastAsia="en-US"/>
        </w:rPr>
        <w:t xml:space="preserve">bashgmu</w:t>
      </w:r>
      <w:r>
        <w:rPr>
          <w:rStyle w:val="934"/>
          <w:sz w:val="26"/>
          <w:szCs w:val="26"/>
          <w:u w:val="single"/>
          <w:lang w:eastAsia="en-US"/>
        </w:rPr>
        <w:t xml:space="preserve">.</w:t>
      </w:r>
      <w:r>
        <w:rPr>
          <w:rStyle w:val="934"/>
          <w:sz w:val="26"/>
          <w:szCs w:val="26"/>
          <w:u w:val="single"/>
          <w:lang w:val="en-US" w:eastAsia="en-US"/>
        </w:rPr>
        <w:t xml:space="preserve">ru</w:t>
      </w:r>
      <w:r>
        <w:rPr>
          <w:rStyle w:val="934"/>
          <w:sz w:val="26"/>
          <w:szCs w:val="26"/>
          <w:u w:val="single"/>
          <w:lang w:eastAsia="en-US"/>
        </w:rPr>
        <w:t xml:space="preserve"> </w:t>
      </w:r>
      <w:r>
        <w:rPr>
          <w:rStyle w:val="934"/>
          <w:sz w:val="26"/>
          <w:szCs w:val="26"/>
        </w:rPr>
        <w:t xml:space="preserve">и электронной почтой, адрес которой указан в разделе </w:t>
      </w:r>
      <w:r>
        <w:rPr>
          <w:rStyle w:val="934"/>
          <w:sz w:val="26"/>
          <w:szCs w:val="26"/>
          <w:lang w:eastAsia="en-US"/>
        </w:rPr>
        <w:t xml:space="preserve">8 </w:t>
      </w:r>
      <w:r>
        <w:rPr>
          <w:rStyle w:val="934"/>
          <w:sz w:val="26"/>
          <w:szCs w:val="26"/>
        </w:rPr>
        <w:t xml:space="preserve">настоящего договора, проверяя их содержимое не реже одного раза в день (для получения обязательной </w:t>
      </w:r>
      <w:r>
        <w:rPr>
          <w:rStyle w:val="934"/>
          <w:sz w:val="26"/>
          <w:szCs w:val="26"/>
        </w:rPr>
        <w:t xml:space="preserve">информации от Университета, уведомлений и т. д.).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pacing w:after="220"/>
        <w:shd w:val="clear" w:color="auto" w:fill="auto"/>
        <w:tabs>
          <w:tab w:val="left" w:pos="1287" w:leader="none"/>
        </w:tabs>
        <w:rPr>
          <w:b/>
          <w:bCs/>
          <w:sz w:val="26"/>
          <w:szCs w:val="26"/>
        </w:rPr>
      </w:pPr>
      <w:r>
        <w:rPr>
          <w:rStyle w:val="934"/>
          <w:sz w:val="26"/>
          <w:szCs w:val="26"/>
        </w:rPr>
        <w:t xml:space="preserve">2.4.10. Пользоваться сервисом «Личный кабинет» в </w:t>
      </w:r>
      <w:r>
        <w:rPr>
          <w:rStyle w:val="934"/>
          <w:sz w:val="26"/>
          <w:szCs w:val="26"/>
          <w:highlight w:val="white"/>
        </w:rPr>
        <w:t xml:space="preserve">информационной системе Университета (https://isu.bashgmu.ru/), </w:t>
      </w:r>
      <w:r>
        <w:rPr>
          <w:rStyle w:val="934"/>
          <w:sz w:val="26"/>
          <w:szCs w:val="26"/>
        </w:rPr>
        <w:t xml:space="preserve">проверяя его содержимое не реже одного раза в день (для получения обязательной информации от Университета, уведомлений, сведений об успеваемости и т. д.)</w:t>
      </w:r>
      <w:r>
        <w:rPr>
          <w:rStyle w:val="934"/>
          <w:bCs/>
          <w:sz w:val="26"/>
          <w:szCs w:val="26"/>
        </w:rPr>
        <w:t xml:space="preserve">.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53"/>
        <w:ind w:left="1860"/>
        <w:jc w:val="left"/>
        <w:keepLines/>
        <w:keepNext/>
        <w:shd w:val="clear" w:color="auto" w:fill="auto"/>
        <w:tabs>
          <w:tab w:val="left" w:pos="2149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bookmarkStart w:id="3" w:name="bookmark4"/>
      <w:r/>
      <w:bookmarkStart w:id="4" w:name="bookmark5"/>
      <w:r>
        <w:rPr>
          <w:rStyle w:val="940"/>
          <w:b/>
          <w:bCs/>
          <w:sz w:val="26"/>
          <w:szCs w:val="26"/>
        </w:rPr>
        <w:t xml:space="preserve">Стоимость образовательных услуг, сроки и порядок их оплаты</w:t>
      </w:r>
      <w:bookmarkEnd w:id="3"/>
      <w:r/>
      <w:bookmarkEnd w:id="4"/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3.1. Полная стоимость образовательных услуг, предусмотренных разделом </w:t>
      </w:r>
      <w:r>
        <w:rPr>
          <w:rStyle w:val="934"/>
          <w:sz w:val="26"/>
          <w:szCs w:val="26"/>
          <w:lang w:eastAsia="en-US"/>
        </w:rPr>
        <w:t xml:space="preserve">1 </w:t>
      </w:r>
      <w:r>
        <w:rPr>
          <w:rStyle w:val="934"/>
          <w:sz w:val="26"/>
          <w:szCs w:val="26"/>
        </w:rPr>
        <w:t xml:space="preserve">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</w:t>
      </w:r>
      <w:r>
        <w:rPr>
          <w:rStyle w:val="934"/>
          <w:sz w:val="26"/>
          <w:szCs w:val="26"/>
          <w:lang w:eastAsia="en-US"/>
        </w:rPr>
        <w:t xml:space="preserve"> (___________________________________________) </w:t>
      </w:r>
      <w:r>
        <w:rPr>
          <w:rStyle w:val="934"/>
          <w:sz w:val="26"/>
          <w:szCs w:val="26"/>
        </w:rPr>
        <w:t xml:space="preserve">рублей </w:t>
      </w:r>
      <w:r>
        <w:rPr>
          <w:rStyle w:val="934"/>
          <w:sz w:val="26"/>
          <w:szCs w:val="26"/>
          <w:lang w:eastAsia="en-US"/>
        </w:rPr>
        <w:t xml:space="preserve">___ </w:t>
      </w:r>
      <w:r>
        <w:rPr>
          <w:rStyle w:val="934"/>
          <w:sz w:val="26"/>
          <w:szCs w:val="26"/>
        </w:rPr>
        <w:t xml:space="preserve">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Стоимость услуг за каждый учебный год по настоящему договору устанавливается ежегодно приказом ректора Университета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Обучающийся оплачивает услуги, предусмотренные настоящим договором, ежегодно в следующем порядке: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numPr>
          <w:ilvl w:val="0"/>
          <w:numId w:val="3"/>
        </w:numPr>
        <w:ind w:firstLine="709"/>
        <w:jc w:val="both"/>
        <w:shd w:val="clear" w:color="auto" w:fill="auto"/>
        <w:tabs>
          <w:tab w:val="left" w:pos="1280" w:leader="none"/>
          <w:tab w:val="left" w:pos="5736" w:leader="underscore"/>
          <w:tab w:val="left" w:pos="7922" w:leader="underscore"/>
          <w:tab w:val="left" w:pos="9019" w:leader="underscore"/>
        </w:tabs>
        <w:rPr>
          <w:rStyle w:val="934"/>
          <w:sz w:val="26"/>
          <w:szCs w:val="26"/>
          <w:highlight w:val="white"/>
        </w:rPr>
      </w:pPr>
      <w:r>
        <w:rPr>
          <w:rStyle w:val="934"/>
          <w:sz w:val="26"/>
          <w:szCs w:val="26"/>
          <w:highlight w:val="white"/>
        </w:rPr>
        <w:t xml:space="preserve">за первый год обучения в размере</w:t>
      </w:r>
      <w:r>
        <w:rPr>
          <w:rStyle w:val="934"/>
          <w:sz w:val="26"/>
          <w:szCs w:val="26"/>
          <w:highlight w:val="white"/>
        </w:rPr>
        <w:tab/>
        <w:t xml:space="preserve">(</w:t>
      </w:r>
      <w:r>
        <w:rPr>
          <w:rStyle w:val="934"/>
          <w:sz w:val="26"/>
          <w:szCs w:val="26"/>
          <w:highlight w:val="white"/>
        </w:rPr>
        <w:tab/>
        <w:t xml:space="preserve">) рублей___</w:t>
      </w:r>
      <w:r>
        <w:rPr>
          <w:rStyle w:val="934"/>
          <w:sz w:val="26"/>
          <w:szCs w:val="26"/>
          <w:highlight w:val="white"/>
        </w:rPr>
        <w:tab/>
        <w:t xml:space="preserve">копеек</w:t>
      </w:r>
      <w:r>
        <w:rPr>
          <w:rStyle w:val="934"/>
          <w:sz w:val="26"/>
          <w:szCs w:val="26"/>
          <w:highlight w:val="white"/>
        </w:rPr>
        <w:br/>
        <w:t xml:space="preserve">оплата производится Обучающимся в течение </w:t>
      </w:r>
      <w:r>
        <w:rPr>
          <w:rStyle w:val="934"/>
          <w:sz w:val="26"/>
          <w:szCs w:val="26"/>
          <w:highlight w:val="white"/>
        </w:rPr>
        <w:t xml:space="preserve">7</w:t>
      </w:r>
      <w:r>
        <w:rPr>
          <w:rStyle w:val="934"/>
          <w:sz w:val="26"/>
          <w:szCs w:val="26"/>
          <w:highlight w:val="white"/>
        </w:rPr>
        <w:t xml:space="preserve"> календарных дней со дня заключения настоящего договора, </w:t>
      </w:r>
      <w:r>
        <w:rPr>
          <w:rStyle w:val="934"/>
          <w:sz w:val="26"/>
          <w:szCs w:val="26"/>
        </w:rPr>
        <w:t xml:space="preserve">но не позднее дня издания приказа о зачислении на обучение</w:t>
      </w:r>
      <w:r>
        <w:rPr>
          <w:rStyle w:val="934"/>
          <w:sz w:val="26"/>
          <w:szCs w:val="26"/>
          <w:highlight w:val="white"/>
        </w:rPr>
        <w:t xml:space="preserve">;</w:t>
      </w:r>
      <w:r>
        <w:rPr>
          <w:rStyle w:val="934"/>
          <w:sz w:val="26"/>
          <w:szCs w:val="26"/>
          <w:highlight w:val="white"/>
        </w:rPr>
      </w:r>
      <w:r>
        <w:rPr>
          <w:rStyle w:val="934"/>
          <w:sz w:val="26"/>
          <w:szCs w:val="26"/>
          <w:highlight w:val="white"/>
        </w:rPr>
      </w:r>
    </w:p>
    <w:p>
      <w:pPr>
        <w:pStyle w:val="947"/>
        <w:numPr>
          <w:ilvl w:val="0"/>
          <w:numId w:val="3"/>
        </w:numPr>
        <w:ind w:firstLine="709"/>
        <w:jc w:val="both"/>
        <w:shd w:val="clear" w:color="auto" w:fill="auto"/>
        <w:tabs>
          <w:tab w:val="left" w:pos="1280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934"/>
          <w:color w:val="000000" w:themeColor="text1"/>
          <w:sz w:val="26"/>
          <w:szCs w:val="26"/>
          <w:highlight w:val="white"/>
        </w:rPr>
        <w:t xml:space="preserve">за каждый последующий год обучения по настоящему договору Обу</w:t>
      </w:r>
      <w:r>
        <w:rPr>
          <w:rStyle w:val="934"/>
          <w:color w:val="000000" w:themeColor="text1"/>
          <w:sz w:val="26"/>
          <w:szCs w:val="26"/>
          <w:highlight w:val="white"/>
        </w:rPr>
        <w:t xml:space="preserve">чающийся производит оплату в размере стоимости очередного года обучения, утвержденной приказом ректора Университета, в следующие сроки: за первый семестр текущего учебного года в срок до 1 сентября и за второй семестр текущего учебного года - до 1 февраля.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0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3.2. Увеличение стоимости образовательных услуг после заключения настоящего договора не допускается, за исключением увеличения стоимости ука</w:t>
      </w:r>
      <w:r>
        <w:rPr>
          <w:rStyle w:val="934"/>
          <w:sz w:val="26"/>
          <w:szCs w:val="26"/>
        </w:rPr>
        <w:t xml:space="preserve">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стоимости обучения на очередной учебный год </w:t>
      </w:r>
      <w:r>
        <w:rPr>
          <w:rStyle w:val="934"/>
          <w:sz w:val="26"/>
          <w:szCs w:val="26"/>
          <w:highlight w:val="white"/>
        </w:rPr>
        <w:t xml:space="preserve">(полной стоимости обучения)</w:t>
      </w:r>
      <w:r>
        <w:rPr>
          <w:rStyle w:val="934"/>
          <w:sz w:val="26"/>
          <w:szCs w:val="26"/>
        </w:rPr>
        <w:t xml:space="preserve"> по сравнению с предыдущим годом, Стороны заключают дополнительное соглашение к настоящему договору.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  <w:highlight w:val="white"/>
        </w:rPr>
        <w:t xml:space="preserve">Дополнительное соглашение в двух экземплярах вручается Обучающемуся или направляется ему по его почтовому адресу, указанному в настоящем договоре, или направляется электронной почтой Университета с доменным именем </w:t>
      </w:r>
      <w:r>
        <w:rPr>
          <w:rStyle w:val="934"/>
          <w:sz w:val="26"/>
          <w:szCs w:val="26"/>
          <w:highlight w:val="white"/>
          <w:u w:val="single"/>
          <w:lang w:eastAsia="en-US"/>
        </w:rPr>
        <w:t xml:space="preserve">@</w:t>
      </w:r>
      <w:r>
        <w:rPr>
          <w:rStyle w:val="934"/>
          <w:sz w:val="26"/>
          <w:szCs w:val="26"/>
          <w:highlight w:val="white"/>
          <w:u w:val="single"/>
          <w:lang w:val="en-US" w:eastAsia="en-US"/>
        </w:rPr>
        <w:t xml:space="preserve">bashgmu</w:t>
      </w:r>
      <w:r>
        <w:rPr>
          <w:rStyle w:val="934"/>
          <w:sz w:val="26"/>
          <w:szCs w:val="26"/>
          <w:highlight w:val="white"/>
          <w:u w:val="single"/>
          <w:lang w:eastAsia="en-US"/>
        </w:rPr>
        <w:t xml:space="preserve">.</w:t>
      </w:r>
      <w:r>
        <w:rPr>
          <w:rStyle w:val="934"/>
          <w:sz w:val="26"/>
          <w:szCs w:val="26"/>
          <w:highlight w:val="white"/>
          <w:u w:val="single"/>
          <w:lang w:val="en-US" w:eastAsia="en-US"/>
        </w:rPr>
        <w:t xml:space="preserve">ru</w:t>
      </w:r>
      <w:r>
        <w:rPr>
          <w:rStyle w:val="934"/>
          <w:sz w:val="26"/>
          <w:szCs w:val="26"/>
          <w:highlight w:val="white"/>
          <w:u w:val="single"/>
          <w:lang w:eastAsia="en-US"/>
        </w:rPr>
        <w:t xml:space="preserve"> </w:t>
      </w:r>
      <w:r>
        <w:rPr>
          <w:rStyle w:val="934"/>
          <w:sz w:val="26"/>
          <w:szCs w:val="26"/>
          <w:highlight w:val="white"/>
        </w:rPr>
        <w:t xml:space="preserve">или направляется электронной почтой, адрес которой указан в разделе </w:t>
      </w:r>
      <w:r>
        <w:rPr>
          <w:rStyle w:val="934"/>
          <w:sz w:val="26"/>
          <w:szCs w:val="26"/>
          <w:highlight w:val="white"/>
          <w:lang w:eastAsia="en-US"/>
        </w:rPr>
        <w:t xml:space="preserve">8 </w:t>
      </w:r>
      <w:r>
        <w:rPr>
          <w:rStyle w:val="934"/>
          <w:sz w:val="26"/>
          <w:szCs w:val="26"/>
          <w:highlight w:val="white"/>
        </w:rPr>
        <w:t xml:space="preserve">настоящего договора, или направляется в информационной системе Университета (</w:t>
      </w:r>
      <w:hyperlink r:id="rId12" w:tooltip="https://isu.bashgmu.ru/" w:history="1">
        <w:r>
          <w:rPr>
            <w:rStyle w:val="941"/>
            <w:sz w:val="26"/>
            <w:szCs w:val="26"/>
            <w:highlight w:val="white"/>
          </w:rPr>
          <w:t xml:space="preserve">https://isu.bashgmu.ru/</w:t>
        </w:r>
      </w:hyperlink>
      <w:r>
        <w:rPr>
          <w:rStyle w:val="934"/>
          <w:sz w:val="26"/>
          <w:szCs w:val="26"/>
          <w:highlight w:val="white"/>
        </w:rPr>
        <w:t xml:space="preserve"> </w:t>
      </w:r>
      <w:r>
        <w:rPr>
          <w:rStyle w:val="934"/>
          <w:sz w:val="26"/>
          <w:szCs w:val="26"/>
          <w:highlight w:val="white"/>
        </w:rPr>
        <w:t xml:space="preserve">). </w:t>
      </w:r>
      <w:r>
        <w:rPr>
          <w:rStyle w:val="934"/>
          <w:sz w:val="26"/>
          <w:szCs w:val="26"/>
        </w:rPr>
        <w:t xml:space="preserve">Обучающийся в течение 10 календарных дней со дня получения дополнительного соглашения должен подписать его в 2-х экземплярах и вернуть в Университет.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В случае неполучения Университетом подписанных экземпляро</w:t>
      </w:r>
      <w:r>
        <w:rPr>
          <w:rStyle w:val="934"/>
          <w:sz w:val="26"/>
          <w:szCs w:val="26"/>
        </w:rPr>
        <w:t xml:space="preserve">в дополнительного соглашения от Обучающегося в срок, указанный в абзаце втором настоящего пункта, дополнительное соглашение считается заключенным (подписанным) с его стороны, а соглашение по указанным в таком дополнительном соглашении условиям достигнутым.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В случае отказа Обучающегося от подписания дополнительного соглашения Университет вправе отказаться от исполнения настоящего договора (расторгнуть настоящий договор) в одностороннем порядке.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3.3. Оплата обучения производится в </w:t>
      </w:r>
      <w:r>
        <w:rPr>
          <w:rStyle w:val="934"/>
          <w:sz w:val="26"/>
          <w:szCs w:val="26"/>
          <w:highlight w:val="white"/>
        </w:rPr>
        <w:t xml:space="preserve">безналичном порядке на лицевой счет Университета.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3.4. Обучающийся обязан предоставить Университету копии (с предъявлением </w:t>
      </w:r>
      <w:r>
        <w:rPr>
          <w:rStyle w:val="934"/>
          <w:sz w:val="26"/>
          <w:szCs w:val="26"/>
        </w:rPr>
        <w:t xml:space="preserve">подлинников) документов, подтверждающих оплату услуг: при оплате по квитанции в отделениях банка - во всех случаях, при оплате платежным поручением - по требованию Университета.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3.5. Днем оплаты считается день поступления средств на лицевой счет Университета.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ffffff" w:themeColor="background1" w:fill="ffffff" w:themeFill="background1"/>
        <w:tabs>
          <w:tab w:val="left" w:pos="1280" w:leader="none"/>
        </w:tabs>
        <w:rPr>
          <w:rStyle w:val="934"/>
          <w:sz w:val="26"/>
          <w:szCs w:val="26"/>
        </w:rPr>
      </w:pPr>
      <w:r>
        <w:rPr>
          <w:sz w:val="26"/>
          <w:szCs w:val="26"/>
        </w:rPr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53"/>
        <w:ind w:left="2140"/>
        <w:jc w:val="left"/>
        <w:keepLines/>
        <w:keepNext/>
        <w:shd w:val="clear" w:color="auto" w:fill="auto"/>
        <w:tabs>
          <w:tab w:val="left" w:pos="242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bookmarkStart w:id="5" w:name="bookmark6"/>
      <w:r/>
      <w:bookmarkStart w:id="6" w:name="bookmark7"/>
      <w:r>
        <w:rPr>
          <w:rStyle w:val="940"/>
          <w:b/>
          <w:bCs/>
          <w:sz w:val="26"/>
          <w:szCs w:val="26"/>
        </w:rPr>
        <w:t xml:space="preserve">Порядок изменения и расторжения настоящего договора</w:t>
      </w:r>
      <w:bookmarkEnd w:id="5"/>
      <w:r/>
      <w:bookmarkEnd w:id="6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/>
      <w:bookmarkStart w:id="7" w:name="_Hlk233621082"/>
      <w:r>
        <w:rPr>
          <w:rStyle w:val="934"/>
          <w:sz w:val="26"/>
          <w:szCs w:val="26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4.2. Настоящий договор может быть расторгнут по соглашению Сторон.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0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4.3. Настоящий договор может быть расторгнут по инициативе Университета в одностороннем порядке в следующих случаях: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4.3.1. В случае применен</w:t>
      </w:r>
      <w:bookmarkStart w:id="8" w:name="_GoBack"/>
      <w:r/>
      <w:bookmarkEnd w:id="8"/>
      <w:r>
        <w:rPr>
          <w:rStyle w:val="934"/>
          <w:sz w:val="26"/>
          <w:szCs w:val="26"/>
        </w:rPr>
        <w:t xml:space="preserve">ия к Обучающемуся, достигшему возраста пятнадцати лет, отчисления как меры дисциплинарного взыскания.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4.3.2. В случае невыполнения Обучающимся обязанностей по добросовестному освоению </w:t>
      </w:r>
      <w:r>
        <w:rPr>
          <w:rStyle w:val="934"/>
          <w:sz w:val="26"/>
          <w:szCs w:val="26"/>
          <w:highlight w:val="white"/>
        </w:rPr>
        <w:t xml:space="preserve">образовательной программы (части основной профессиональной образовательной программы) </w:t>
      </w:r>
      <w:r>
        <w:rPr>
          <w:rStyle w:val="934"/>
          <w:sz w:val="26"/>
          <w:szCs w:val="26"/>
        </w:rPr>
        <w:t xml:space="preserve">и выполнению учебного плана.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4.3.3. В случае установления нарушения порядка приема в Университет, повлекшего по вине Обучающегося его незаконное зачисление в Университет.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1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4.3.4. В случае просрочки оплаты стоимости платных образовательных услуг по настоящему договору. 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4.3.5.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4</w:t>
      </w:r>
      <w:r>
        <w:rPr>
          <w:rStyle w:val="934"/>
          <w:sz w:val="26"/>
          <w:szCs w:val="26"/>
        </w:rPr>
        <w:t xml:space="preserve">. </w:t>
      </w:r>
      <w:r>
        <w:rPr>
          <w:rStyle w:val="934"/>
          <w:sz w:val="26"/>
          <w:szCs w:val="26"/>
        </w:rPr>
        <w:t xml:space="preserve">Университет вправе отказаться от исполнения обязательств по договору при условии полного возмещения Обучающемуся убытков.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 Настоящий договор может быть расторгнут по инициативе Обучающегося по следующим основаниям: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.1. В связи с переводом Обучающегося в другую образовательную организацию.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.2. В связи с отчислением Обучающегося по его инициативе из Университета на основании письменного заявления.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.3. </w:t>
      </w:r>
      <w:r>
        <w:rPr>
          <w:rStyle w:val="934"/>
          <w:sz w:val="26"/>
          <w:szCs w:val="26"/>
          <w:highlight w:val="white"/>
        </w:rPr>
        <w:t xml:space="preserve">При переходе Обучающегося с платного обучения на обучение за счет средств бюджетных ассигнований федерального бюджета</w:t>
      </w:r>
      <w:r>
        <w:rPr>
          <w:rStyle w:val="934"/>
          <w:sz w:val="26"/>
          <w:szCs w:val="26"/>
        </w:rPr>
        <w:t xml:space="preserve"> в установленном законодательством Российской Федерации порядке.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.4. В связи с обнаружением Обучающимся существенного недостатка оказанных платных образовательных услуг по настоящему договору или иных существенных отступлений от условий договора.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.5. В связи с </w:t>
      </w:r>
      <w:r>
        <w:rPr>
          <w:rStyle w:val="934"/>
          <w:sz w:val="26"/>
          <w:szCs w:val="26"/>
        </w:rPr>
        <w:t xml:space="preserve">неустранением</w:t>
      </w:r>
      <w:r>
        <w:rPr>
          <w:rStyle w:val="934"/>
          <w:sz w:val="26"/>
          <w:szCs w:val="26"/>
        </w:rPr>
        <w:t xml:space="preserve"> Университетом в установленный договором срок недостатков платных образовательных услуг.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5</w:t>
      </w:r>
      <w:r>
        <w:rPr>
          <w:rStyle w:val="934"/>
          <w:sz w:val="26"/>
          <w:szCs w:val="26"/>
        </w:rPr>
        <w:t xml:space="preserve">.6. В связи с нарушением Университетом сроков оказания образовательной услуги (сроков начала и (или) окончания оказания образовательной услуги и (или) </w:t>
      </w:r>
      <w:r>
        <w:rPr>
          <w:rStyle w:val="934"/>
          <w:sz w:val="26"/>
          <w:szCs w:val="26"/>
          <w:highlight w:val="white"/>
        </w:rPr>
        <w:t xml:space="preserve">промежуточных сроков оказания образовательной услуги)</w:t>
      </w:r>
      <w:r>
        <w:rPr>
          <w:rStyle w:val="934"/>
          <w:sz w:val="26"/>
          <w:szCs w:val="26"/>
        </w:rPr>
        <w:t xml:space="preserve"> либо если во время оказания образовательной услуги стало очевидным, что она не будет оказана в срок.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6</w:t>
      </w:r>
      <w:r>
        <w:rPr>
          <w:rStyle w:val="934"/>
          <w:sz w:val="26"/>
          <w:szCs w:val="26"/>
        </w:rPr>
        <w:t xml:space="preserve">. В случае </w:t>
      </w:r>
      <w:r>
        <w:rPr>
          <w:rStyle w:val="934"/>
          <w:sz w:val="26"/>
          <w:szCs w:val="26"/>
        </w:rPr>
        <w:t xml:space="preserve">незачисления</w:t>
      </w:r>
      <w:r>
        <w:rPr>
          <w:rStyle w:val="934"/>
          <w:sz w:val="26"/>
          <w:szCs w:val="26"/>
        </w:rPr>
        <w:t xml:space="preserve"> Обучающегося на обучение в соответствии с Правилами приема в Университет</w:t>
      </w:r>
      <w:r>
        <w:rPr>
          <w:rStyle w:val="934"/>
          <w:sz w:val="26"/>
          <w:szCs w:val="26"/>
        </w:rPr>
        <w:t xml:space="preserve"> д</w:t>
      </w:r>
      <w:r>
        <w:rPr>
          <w:rStyle w:val="934"/>
          <w:sz w:val="26"/>
          <w:szCs w:val="26"/>
        </w:rPr>
        <w:t xml:space="preserve">ействие </w:t>
      </w:r>
      <w:r>
        <w:rPr>
          <w:rStyle w:val="934"/>
          <w:sz w:val="26"/>
          <w:szCs w:val="26"/>
        </w:rPr>
        <w:t xml:space="preserve">д</w:t>
      </w:r>
      <w:r>
        <w:rPr>
          <w:rStyle w:val="934"/>
          <w:sz w:val="26"/>
          <w:szCs w:val="26"/>
        </w:rPr>
        <w:t xml:space="preserve">оговора автоматически прекращается в связи с объективной невозможностью исполнения обязательств Сторонами</w:t>
      </w:r>
      <w:r>
        <w:rPr>
          <w:rStyle w:val="934"/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7</w:t>
      </w:r>
      <w:r>
        <w:rPr>
          <w:rStyle w:val="934"/>
          <w:sz w:val="26"/>
          <w:szCs w:val="26"/>
        </w:rPr>
        <w:t xml:space="preserve">. Настоящий договор может быть расторгнут по обстоятельствам, не зависящим от воли Обучающегося, в том числе в случае ликвидации Университета.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76" w:leader="none"/>
        </w:tabs>
        <w:rPr>
          <w:rStyle w:val="934"/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4.</w:t>
      </w:r>
      <w:r>
        <w:rPr>
          <w:rStyle w:val="934"/>
          <w:sz w:val="26"/>
          <w:szCs w:val="26"/>
        </w:rPr>
        <w:t xml:space="preserve">8</w:t>
      </w:r>
      <w:r>
        <w:rPr>
          <w:rStyle w:val="934"/>
          <w:sz w:val="26"/>
          <w:szCs w:val="26"/>
        </w:rPr>
        <w:t xml:space="preserve">. Срок, на который Обучающемуся предоставлен академический отпуск, отпуск по </w:t>
      </w:r>
      <w:r>
        <w:rPr>
          <w:rStyle w:val="934"/>
          <w:sz w:val="26"/>
          <w:szCs w:val="26"/>
        </w:rPr>
        <w:t xml:space="preserve">беременности и родам, </w:t>
      </w:r>
      <w:r>
        <w:rPr>
          <w:rStyle w:val="934"/>
          <w:sz w:val="26"/>
          <w:szCs w:val="26"/>
          <w:highlight w:val="white"/>
        </w:rPr>
        <w:t xml:space="preserve">отпуска </w:t>
      </w:r>
      <w:r>
        <w:rPr>
          <w:rStyle w:val="934"/>
          <w:sz w:val="26"/>
          <w:szCs w:val="26"/>
        </w:rPr>
        <w:t xml:space="preserve">по уходу за ребенком до достижения им возраста трех </w:t>
      </w:r>
      <w:r>
        <w:rPr>
          <w:rStyle w:val="934"/>
          <w:sz w:val="26"/>
          <w:szCs w:val="26"/>
        </w:rPr>
        <w:t xml:space="preserve">лет,  в</w:t>
      </w:r>
      <w:r>
        <w:rPr>
          <w:rStyle w:val="934"/>
          <w:sz w:val="26"/>
          <w:szCs w:val="26"/>
        </w:rPr>
        <w:t xml:space="preserve"> срок обучения </w:t>
      </w:r>
      <w:r>
        <w:rPr>
          <w:rStyle w:val="934"/>
          <w:sz w:val="26"/>
          <w:szCs w:val="26"/>
          <w:highlight w:val="white"/>
        </w:rPr>
        <w:t xml:space="preserve">не включается, действие настоящего договора на этот период приостанавливается до выхода Обучающегося из отпуска.</w:t>
      </w:r>
      <w:bookmarkEnd w:id="7"/>
      <w:r>
        <w:rPr>
          <w:rStyle w:val="934"/>
          <w:sz w:val="26"/>
          <w:szCs w:val="26"/>
          <w:highlight w:val="white"/>
        </w:rPr>
      </w:r>
      <w:r>
        <w:rPr>
          <w:rStyle w:val="934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53"/>
        <w:ind w:left="1980"/>
        <w:jc w:val="left"/>
        <w:keepLines/>
        <w:keepNext/>
        <w:shd w:val="clear" w:color="auto" w:fill="auto"/>
        <w:tabs>
          <w:tab w:val="left" w:pos="2269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5. </w:t>
      </w:r>
      <w:bookmarkStart w:id="9" w:name="bookmark8"/>
      <w:r/>
      <w:bookmarkStart w:id="10" w:name="bookmark9"/>
      <w:r>
        <w:rPr>
          <w:rStyle w:val="940"/>
          <w:b/>
          <w:bCs/>
          <w:sz w:val="26"/>
          <w:szCs w:val="26"/>
        </w:rPr>
        <w:t xml:space="preserve">Ответственность Университета и Обучающегося</w:t>
      </w:r>
      <w:bookmarkEnd w:id="9"/>
      <w:r/>
      <w:bookmarkEnd w:id="10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76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5.2. При обнаружении недостатка образовательной услуги, в том числе оказания не в полном объеме, предусмотренном</w:t>
      </w:r>
      <w:r>
        <w:rPr>
          <w:rStyle w:val="934"/>
          <w:sz w:val="26"/>
          <w:szCs w:val="26"/>
          <w:highlight w:val="white"/>
        </w:rPr>
        <w:t xml:space="preserve"> основной профессиональной образовательной программой  (частью основной профессиональной образовательной программы),</w:t>
      </w:r>
      <w:r>
        <w:rPr>
          <w:rStyle w:val="934"/>
          <w:sz w:val="26"/>
          <w:szCs w:val="26"/>
        </w:rPr>
        <w:t xml:space="preserve"> Обучающийся</w:t>
      </w:r>
      <w:r>
        <w:rPr>
          <w:rStyle w:val="934"/>
          <w:sz w:val="26"/>
          <w:szCs w:val="26"/>
        </w:rPr>
        <w:t xml:space="preserve"> </w:t>
      </w:r>
      <w:r>
        <w:rPr>
          <w:rStyle w:val="934"/>
          <w:sz w:val="26"/>
          <w:szCs w:val="26"/>
        </w:rPr>
        <w:t xml:space="preserve">вправе по своему выбору потребовать: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5.2.1. безвозмездного оказания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5.2.2. соразмерного уменьшения стоимости оказанной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5.2.3. возмещения понесенных им расходов по устранению недостатков оказанной образовательной услуги своими силами или третьими лицами.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5.3. Обучающийся вправе отказаться от исполнения договора и потребовать полного возмещения убытков, если в 30-дневный </w:t>
      </w:r>
      <w:r>
        <w:rPr>
          <w:rStyle w:val="934"/>
          <w:sz w:val="26"/>
          <w:szCs w:val="26"/>
        </w:rPr>
        <w:t xml:space="preserve">срок недостатки образовательной услуги не устранены Университетом.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5.4. Если Университет нарушил сроки оказания образовательной услуги (сроки начала и (или) окончания оказания образовательной услуги и (или) </w:t>
      </w:r>
      <w:r>
        <w:rPr>
          <w:rStyle w:val="934"/>
          <w:sz w:val="26"/>
          <w:szCs w:val="26"/>
          <w:highlight w:val="white"/>
        </w:rPr>
        <w:t xml:space="preserve">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</w:t>
      </w:r>
      <w:r>
        <w:rPr>
          <w:rStyle w:val="934"/>
          <w:sz w:val="26"/>
          <w:szCs w:val="26"/>
        </w:rPr>
        <w:t xml:space="preserve">праве по своему выбору: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0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5.4.2. поручить оказать образовательную услугу третьим лицам за разумную цену и потребовать от Университета возмещения понесенных расходов;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5.4.3. потребовать уменьшения стоимости образовательной услуги;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311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5.4.4. расторгнуть договор.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Style w:val="934"/>
          <w:sz w:val="26"/>
          <w:szCs w:val="26"/>
        </w:rPr>
      </w:pPr>
      <w:r/>
      <w:bookmarkStart w:id="11" w:name="_Hlk233290116"/>
      <w:r>
        <w:rPr>
          <w:rStyle w:val="934"/>
          <w:sz w:val="26"/>
          <w:szCs w:val="26"/>
        </w:rPr>
        <w:t xml:space="preserve">5.5. </w:t>
      </w:r>
      <w:r>
        <w:rPr>
          <w:rStyle w:val="934"/>
          <w:sz w:val="26"/>
          <w:szCs w:val="26"/>
        </w:rPr>
        <w:t xml:space="preserve">К О</w:t>
      </w:r>
      <w:r>
        <w:rPr>
          <w:rStyle w:val="934"/>
          <w:sz w:val="26"/>
          <w:szCs w:val="26"/>
        </w:rPr>
        <w:t xml:space="preserve">бучающ</w:t>
      </w:r>
      <w:r>
        <w:rPr>
          <w:rStyle w:val="934"/>
          <w:sz w:val="26"/>
          <w:szCs w:val="26"/>
        </w:rPr>
        <w:t xml:space="preserve">е</w:t>
      </w:r>
      <w:r>
        <w:rPr>
          <w:rStyle w:val="934"/>
          <w:sz w:val="26"/>
          <w:szCs w:val="26"/>
        </w:rPr>
        <w:t xml:space="preserve">м</w:t>
      </w:r>
      <w:r>
        <w:rPr>
          <w:rStyle w:val="934"/>
          <w:sz w:val="26"/>
          <w:szCs w:val="26"/>
        </w:rPr>
        <w:t xml:space="preserve">у</w:t>
      </w:r>
      <w:r>
        <w:rPr>
          <w:rStyle w:val="934"/>
          <w:sz w:val="26"/>
          <w:szCs w:val="26"/>
        </w:rPr>
        <w:t xml:space="preserve">ся </w:t>
      </w:r>
      <w:r>
        <w:rPr>
          <w:rStyle w:val="934"/>
          <w:sz w:val="26"/>
          <w:szCs w:val="26"/>
        </w:rPr>
        <w:t xml:space="preserve">могут применяться м</w:t>
      </w:r>
      <w:r>
        <w:rPr>
          <w:rStyle w:val="934"/>
          <w:sz w:val="26"/>
          <w:szCs w:val="26"/>
        </w:rPr>
        <w:t xml:space="preserve">еры дисциплинарного взыскания за неисполнение или нарушение устава </w:t>
      </w:r>
      <w:r>
        <w:rPr>
          <w:rStyle w:val="934"/>
          <w:sz w:val="26"/>
          <w:szCs w:val="26"/>
        </w:rPr>
        <w:t xml:space="preserve">Университета</w:t>
      </w:r>
      <w:r>
        <w:rPr>
          <w:rStyle w:val="934"/>
          <w:sz w:val="26"/>
          <w:szCs w:val="26"/>
        </w:rPr>
        <w:t xml:space="preserve">, правил внутреннего распорядка, в том числе требований к дисциплине на учебных занятиях и правилам поведения в </w:t>
      </w:r>
      <w:r>
        <w:rPr>
          <w:rStyle w:val="934"/>
          <w:sz w:val="26"/>
          <w:szCs w:val="26"/>
        </w:rPr>
        <w:t xml:space="preserve">Университете</w:t>
      </w:r>
      <w:r>
        <w:rPr>
          <w:rStyle w:val="934"/>
          <w:sz w:val="26"/>
          <w:szCs w:val="26"/>
        </w:rPr>
        <w:t xml:space="preserve">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>
        <w:rPr>
          <w:rStyle w:val="934"/>
          <w:sz w:val="26"/>
          <w:szCs w:val="26"/>
        </w:rPr>
        <w:t xml:space="preserve">. 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5.6. </w:t>
      </w:r>
      <w:r>
        <w:rPr>
          <w:rStyle w:val="934"/>
          <w:sz w:val="26"/>
          <w:szCs w:val="26"/>
        </w:rPr>
        <w:t xml:space="preserve">Все споры, вытекающие из настоящего договора, решаются путем непосредственных переговоров, а при недостижении соглашения – в судебном порядке.</w:t>
      </w:r>
      <w:bookmarkEnd w:id="11"/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Style w:val="934"/>
          <w:sz w:val="26"/>
          <w:szCs w:val="26"/>
        </w:rPr>
      </w:pPr>
      <w:r>
        <w:rPr>
          <w:sz w:val="26"/>
          <w:szCs w:val="26"/>
        </w:rPr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pStyle w:val="953"/>
        <w:keepLines/>
        <w:keepNext/>
        <w:shd w:val="clear" w:color="auto" w:fill="auto"/>
        <w:rPr>
          <w:bCs/>
          <w:sz w:val="26"/>
          <w:szCs w:val="26"/>
        </w:rPr>
      </w:pPr>
      <w:r/>
      <w:bookmarkStart w:id="12" w:name="bookmark10"/>
      <w:r/>
      <w:bookmarkStart w:id="13" w:name="bookmark11"/>
      <w:r>
        <w:rPr>
          <w:rStyle w:val="940"/>
          <w:b/>
          <w:bCs/>
          <w:sz w:val="26"/>
          <w:szCs w:val="26"/>
        </w:rPr>
        <w:t xml:space="preserve">6. Срок действия настоящего договора</w:t>
      </w:r>
      <w:bookmarkEnd w:id="12"/>
      <w:r/>
      <w:bookmarkEnd w:id="13"/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6.1. Настоящий договор вступает в силу с момента его подписания Сторонами и действует до полного исполнения Сторонами обязательств.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  <w14:ligatures w14:val="none"/>
        </w:rPr>
      </w:pPr>
      <w:r>
        <w:rPr>
          <w:rStyle w:val="934"/>
          <w:sz w:val="26"/>
          <w:szCs w:val="26"/>
        </w:rPr>
        <w:t xml:space="preserve">6.2.</w:t>
      </w:r>
      <w:r>
        <w:rPr>
          <w:rStyle w:val="934"/>
          <w:sz w:val="26"/>
          <w:szCs w:val="26"/>
        </w:rPr>
        <w:t xml:space="preserve"> </w:t>
      </w:r>
      <w:r>
        <w:rPr>
          <w:rStyle w:val="934"/>
          <w:sz w:val="26"/>
          <w:szCs w:val="26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</w:t>
      </w:r>
      <w:r>
        <w:rPr>
          <w:rStyle w:val="934"/>
          <w:sz w:val="26"/>
          <w:szCs w:val="26"/>
        </w:rPr>
        <w:t xml:space="preserve">та.</w:t>
      </w:r>
      <w:r>
        <w:rPr>
          <w:sz w:val="26"/>
          <w:szCs w:val="26"/>
          <w14:ligatures w14:val="none"/>
        </w:rPr>
      </w:r>
      <w:r>
        <w:rPr>
          <w:sz w:val="26"/>
          <w:szCs w:val="26"/>
          <w14:ligatures w14:val="non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pStyle w:val="953"/>
        <w:keepLines/>
        <w:keepNext/>
        <w:shd w:val="clear" w:color="auto" w:fill="auto"/>
        <w:tabs>
          <w:tab w:val="left" w:pos="294" w:leader="none"/>
        </w:tabs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7. </w:t>
      </w:r>
      <w:bookmarkStart w:id="14" w:name="bookmark12"/>
      <w:r/>
      <w:bookmarkStart w:id="15" w:name="bookmark13"/>
      <w:r>
        <w:rPr>
          <w:rStyle w:val="940"/>
          <w:b/>
          <w:bCs/>
          <w:color w:val="000000" w:themeColor="text1"/>
          <w:sz w:val="26"/>
          <w:szCs w:val="26"/>
        </w:rPr>
        <w:t xml:space="preserve">Заключительные положения</w:t>
      </w:r>
      <w:bookmarkEnd w:id="14"/>
      <w:r/>
      <w:bookmarkEnd w:id="15"/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7.1. Настоящий договор составлен в двух экземплярах, по одному для каждой из Сторон. Все экземпляры имеют одинаковую юридическую силу, один из которых хранится в Университете, второй </w:t>
      </w:r>
      <w:r>
        <w:rPr>
          <w:rStyle w:val="934"/>
          <w:sz w:val="26"/>
          <w:szCs w:val="26"/>
        </w:rPr>
        <w:t xml:space="preserve">–</w:t>
      </w:r>
      <w:r>
        <w:rPr>
          <w:rStyle w:val="934"/>
          <w:sz w:val="26"/>
          <w:szCs w:val="26"/>
        </w:rPr>
        <w:t xml:space="preserve"> у Обучающегося.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7.2.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настоящего договора оформляются дополнительными соглашениями к договору.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7.3. Подтверждением оказания услуг Университетом Обучающемуся в рамках настоящего договора являются приказы</w:t>
      </w:r>
      <w:r>
        <w:rPr>
          <w:rStyle w:val="934"/>
          <w:sz w:val="26"/>
          <w:szCs w:val="26"/>
          <w:highlight w:val="white"/>
        </w:rPr>
        <w:t xml:space="preserve"> ректора или уполномоченного им лица </w:t>
      </w:r>
      <w:r>
        <w:rPr>
          <w:rStyle w:val="934"/>
          <w:sz w:val="26"/>
          <w:szCs w:val="26"/>
        </w:rPr>
        <w:t xml:space="preserve">о зачислении, переводе с курса на курс, об отчислении/переводе, о выдаче документа о получении образования.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7.4. Стороны пришли к соглашению: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7.4.</w:t>
      </w:r>
      <w:r>
        <w:rPr>
          <w:rStyle w:val="934"/>
          <w:sz w:val="26"/>
          <w:szCs w:val="26"/>
        </w:rPr>
        <w:t xml:space="preserve">1. что надлежащим извещением (уведомлением) Обучающегося  о досрочном расторжении настоящего договора по инициативе Университета, об отчислении Обучающегося, о ненадлежащем исполнении и (или) неисполнении условий настоящего договора, об установлении размер</w:t>
      </w:r>
      <w:r>
        <w:rPr>
          <w:rStyle w:val="934"/>
          <w:sz w:val="26"/>
          <w:szCs w:val="26"/>
        </w:rPr>
        <w:t xml:space="preserve">а стоимости очередного года обучения по настоящему договору является извещение (уведомление) посредством одного из следующих способов: направления письменного уведомления, телеграммы, путем размещения информации в личном кабинете студента в информационной </w:t>
      </w:r>
      <w:r>
        <w:rPr>
          <w:rStyle w:val="934"/>
          <w:sz w:val="26"/>
          <w:szCs w:val="26"/>
          <w:highlight w:val="white"/>
        </w:rPr>
        <w:t xml:space="preserve">системе Университета, нап</w:t>
      </w:r>
      <w:r>
        <w:rPr>
          <w:rStyle w:val="934"/>
          <w:sz w:val="26"/>
          <w:szCs w:val="26"/>
        </w:rPr>
        <w:t xml:space="preserve">равления сообщений по </w:t>
      </w:r>
      <w:r>
        <w:rPr>
          <w:rStyle w:val="934"/>
          <w:color w:val="000000" w:themeColor="text1"/>
          <w:sz w:val="26"/>
          <w:szCs w:val="26"/>
          <w:highlight w:val="white"/>
        </w:rPr>
        <w:t xml:space="preserve">электронной почте  Обучающегося, указанным в настоящем договоре;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sz w:val="26"/>
          <w:szCs w:val="26"/>
        </w:rPr>
      </w:pPr>
      <w:r>
        <w:rPr>
          <w:rStyle w:val="934"/>
          <w:sz w:val="26"/>
          <w:szCs w:val="26"/>
        </w:rPr>
        <w:t xml:space="preserve">7.4.2. что надлежащей подачей Обучающимся </w:t>
      </w:r>
      <w:r>
        <w:rPr>
          <w:rStyle w:val="934"/>
          <w:sz w:val="26"/>
          <w:szCs w:val="26"/>
          <w:highlight w:val="white"/>
        </w:rPr>
        <w:t xml:space="preserve">заявлений, связанных с движением контингента, признается направление их в адрес директора медицинского колледжа или посредством личного кабинета с</w:t>
      </w:r>
      <w:r>
        <w:rPr>
          <w:rStyle w:val="934"/>
          <w:sz w:val="26"/>
          <w:szCs w:val="26"/>
        </w:rPr>
        <w:t xml:space="preserve">тудента в информационной системе Университета (в целях его идентификации) с обязательным предоставлением оригиналов необходимых документов в адрес Университета;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282" w:leader="none"/>
        </w:tabs>
        <w:rPr>
          <w:rStyle w:val="934"/>
          <w:color w:val="000000" w:themeColor="text1"/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7.4.3. в</w:t>
      </w:r>
      <w:r>
        <w:rPr>
          <w:rStyle w:val="934"/>
          <w:sz w:val="26"/>
          <w:szCs w:val="26"/>
        </w:rPr>
        <w:t xml:space="preserve">се юридически значимые сообщения и уведомления со стороны Университета подлежат направлению в адрес Обучающегося способами, указанными в настоящем разделе.  Обучающийся несет риск последствий неполучения извещений (уведомлений) и других юридически значимых</w:t>
      </w:r>
      <w:r>
        <w:rPr>
          <w:rStyle w:val="934"/>
          <w:color w:val="000000" w:themeColor="text1"/>
          <w:sz w:val="26"/>
          <w:szCs w:val="26"/>
        </w:rPr>
        <w:t xml:space="preserve"> </w:t>
      </w:r>
      <w:r>
        <w:rPr>
          <w:rStyle w:val="934"/>
          <w:color w:val="000000" w:themeColor="text1"/>
          <w:sz w:val="26"/>
          <w:szCs w:val="26"/>
          <w:highlight w:val="white"/>
        </w:rPr>
        <w:t xml:space="preserve">соо</w:t>
      </w:r>
      <w:hyperlink r:id="rId13" w:tooltip="http://kpfu.ru/jurdocs" w:history="1">
        <w:r>
          <w:rPr>
            <w:color w:val="000000" w:themeColor="text1"/>
            <w:sz w:val="26"/>
            <w:szCs w:val="26"/>
            <w:highlight w:val="white"/>
          </w:rPr>
          <w:t xml:space="preserve">бщений, направленны</w:t>
        </w:r>
      </w:hyperlink>
      <w:r>
        <w:rPr>
          <w:rStyle w:val="934"/>
          <w:color w:val="000000" w:themeColor="text1"/>
          <w:sz w:val="26"/>
          <w:szCs w:val="26"/>
          <w:highlight w:val="white"/>
        </w:rPr>
        <w:t xml:space="preserve">х им по реквизитам, указанным в разделе 8 настоящего договора.</w:t>
      </w:r>
      <w:r>
        <w:rPr>
          <w:rStyle w:val="934"/>
          <w:color w:val="000000" w:themeColor="text1"/>
          <w:sz w:val="26"/>
          <w:szCs w:val="26"/>
          <w:highlight w:val="white"/>
        </w:rPr>
      </w:r>
      <w:r>
        <w:rPr>
          <w:rStyle w:val="934"/>
          <w:color w:val="000000" w:themeColor="text1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457" w:leader="none"/>
        </w:tabs>
        <w:rPr>
          <w:sz w:val="26"/>
          <w:szCs w:val="26"/>
          <w:highlight w:val="white"/>
        </w:rPr>
      </w:pPr>
      <w:r>
        <w:rPr>
          <w:rStyle w:val="934"/>
          <w:color w:val="auto"/>
          <w:sz w:val="26"/>
          <w:szCs w:val="26"/>
          <w:highlight w:val="white"/>
        </w:rPr>
        <w:t xml:space="preserve">7.5. При исполнении своих обязательств Стороны уведомлены и обязуются исполнять условия «Антикоррупционной оговорки», «Заверения об обстоятельствах», которые указаны на официальном сайте Университета </w:t>
      </w:r>
      <w:r>
        <w:rPr>
          <w:rStyle w:val="934"/>
          <w:sz w:val="26"/>
          <w:szCs w:val="26"/>
          <w:highlight w:val="white"/>
          <w:lang w:eastAsia="en-US"/>
        </w:rPr>
        <w:t xml:space="preserve">(</w:t>
      </w:r>
      <w:hyperlink r:id="rId14" w:tooltip="https://www.bashgmu.ru/sveden/document/" w:history="1">
        <w:r>
          <w:rPr>
            <w:rStyle w:val="941"/>
            <w:sz w:val="26"/>
            <w:szCs w:val="26"/>
            <w:lang w:eastAsia="en-US"/>
          </w:rPr>
          <w:t xml:space="preserve">https://www.bashgmu.ru/sveden/document/</w:t>
        </w:r>
      </w:hyperlink>
      <w:r>
        <w:rPr>
          <w:rStyle w:val="934"/>
          <w:sz w:val="26"/>
          <w:szCs w:val="26"/>
          <w:lang w:eastAsia="en-US"/>
        </w:rPr>
        <w:t xml:space="preserve"> </w:t>
      </w:r>
      <w:r>
        <w:rPr>
          <w:rStyle w:val="934"/>
          <w:sz w:val="26"/>
          <w:szCs w:val="26"/>
          <w:highlight w:val="white"/>
          <w:lang w:eastAsia="en-US"/>
        </w:rPr>
        <w:t xml:space="preserve">).</w:t>
      </w:r>
      <w:r>
        <w:rPr>
          <w:sz w:val="26"/>
          <w:szCs w:val="26"/>
          <w:highlight w:val="white"/>
        </w:rPr>
      </w:r>
      <w:r>
        <w:rPr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457" w:leader="none"/>
        </w:tabs>
        <w:rPr>
          <w:color w:val="000000" w:themeColor="text1"/>
          <w:sz w:val="26"/>
          <w:szCs w:val="26"/>
          <w:highlight w:val="white"/>
        </w:rPr>
      </w:pPr>
      <w:r>
        <w:rPr>
          <w:rStyle w:val="934"/>
          <w:sz w:val="26"/>
          <w:szCs w:val="26"/>
        </w:rPr>
        <w:t xml:space="preserve">7.6. Стороны обязуются в течение 5 календарных дней сообщать друг другу об изменениях своих реквизитов, </w:t>
      </w:r>
      <w:r>
        <w:rPr>
          <w:rStyle w:val="934"/>
          <w:color w:val="000000" w:themeColor="text1"/>
          <w:sz w:val="26"/>
          <w:szCs w:val="26"/>
          <w:highlight w:val="white"/>
        </w:rPr>
        <w:t xml:space="preserve">указанных в разделе 8 настоящего договора.</w:t>
      </w:r>
      <w:r>
        <w:rPr>
          <w:color w:val="000000" w:themeColor="text1"/>
          <w:sz w:val="26"/>
          <w:szCs w:val="26"/>
          <w:highlight w:val="white"/>
        </w:rPr>
      </w:r>
      <w:r>
        <w:rPr>
          <w:color w:val="000000" w:themeColor="text1"/>
          <w:sz w:val="26"/>
          <w:szCs w:val="26"/>
          <w:highlight w:val="white"/>
        </w:rPr>
      </w:r>
    </w:p>
    <w:p>
      <w:pPr>
        <w:pStyle w:val="947"/>
        <w:ind w:firstLine="709"/>
        <w:jc w:val="both"/>
        <w:shd w:val="clear" w:color="auto" w:fill="auto"/>
        <w:tabs>
          <w:tab w:val="left" w:pos="1457" w:leader="none"/>
        </w:tabs>
        <w:rPr>
          <w:rStyle w:val="934"/>
          <w:sz w:val="26"/>
          <w:szCs w:val="26"/>
        </w:rPr>
      </w:pPr>
      <w:r>
        <w:rPr>
          <w:rStyle w:val="934"/>
          <w:sz w:val="26"/>
          <w:szCs w:val="26"/>
        </w:rPr>
        <w:t xml:space="preserve">7.7. Подписанием настоящего договора Обучающийся подтверждают, что им разъяснено содержание всех положений настоящего договора.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p>
      <w:pPr>
        <w:widowControl/>
        <w:rPr>
          <w:rStyle w:val="934"/>
          <w:b/>
          <w:bCs/>
          <w:sz w:val="26"/>
          <w:szCs w:val="26"/>
        </w:rPr>
      </w:pPr>
      <w:r>
        <w:rPr>
          <w:rStyle w:val="934"/>
          <w:b/>
          <w:bCs/>
          <w:sz w:val="26"/>
          <w:szCs w:val="26"/>
        </w:rPr>
        <w:br w:type="page" w:clear="all"/>
      </w:r>
      <w:r>
        <w:rPr>
          <w:rStyle w:val="934"/>
          <w:b/>
          <w:bCs/>
          <w:sz w:val="26"/>
          <w:szCs w:val="26"/>
        </w:rPr>
      </w:r>
      <w:r>
        <w:rPr>
          <w:rStyle w:val="934"/>
          <w:b/>
          <w:bCs/>
          <w:sz w:val="26"/>
          <w:szCs w:val="26"/>
        </w:rPr>
      </w:r>
    </w:p>
    <w:p>
      <w:pPr>
        <w:pStyle w:val="947"/>
        <w:ind w:firstLine="709"/>
        <w:jc w:val="center"/>
        <w:spacing w:after="460"/>
        <w:shd w:val="clear" w:color="auto" w:fill="auto"/>
        <w:tabs>
          <w:tab w:val="left" w:pos="1457" w:leader="none"/>
        </w:tabs>
        <w:rPr>
          <w:rStyle w:val="934"/>
          <w:sz w:val="26"/>
          <w:szCs w:val="26"/>
        </w:rPr>
      </w:pPr>
      <w:r>
        <w:rPr>
          <w:rStyle w:val="934"/>
          <w:b/>
          <w:bCs/>
          <w:sz w:val="26"/>
          <w:szCs w:val="26"/>
        </w:rPr>
        <w:t xml:space="preserve">8. Адреса, реквизиты и подписи сторон</w:t>
      </w:r>
      <w:r>
        <w:rPr>
          <w:rStyle w:val="934"/>
          <w:sz w:val="26"/>
          <w:szCs w:val="26"/>
        </w:rPr>
        <w:t xml:space="preserve">  </w:t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tbl>
      <w:tblPr>
        <w:tblStyle w:val="790"/>
        <w:tblW w:w="0" w:type="auto"/>
        <w:tblLook w:val="04A0" w:firstRow="1" w:lastRow="0" w:firstColumn="1" w:lastColumn="0" w:noHBand="0" w:noVBand="1"/>
      </w:tblPr>
      <w:tblGrid>
        <w:gridCol w:w="4990"/>
        <w:gridCol w:w="5205"/>
      </w:tblGrid>
      <w:tr>
        <w:tblPrEx/>
        <w:trPr>
          <w:trHeight w:val="10012"/>
        </w:trPr>
        <w:tc>
          <w:tcPr>
            <w:tcW w:w="5210" w:type="dxa"/>
            <w:textDirection w:val="lrTb"/>
            <w:noWrap w:val="false"/>
          </w:tcPr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b/>
                <w:sz w:val="26"/>
                <w:szCs w:val="26"/>
              </w:rPr>
            </w:pPr>
            <w:r>
              <w:rPr>
                <w:rStyle w:val="934"/>
                <w:b/>
                <w:sz w:val="26"/>
                <w:szCs w:val="26"/>
              </w:rPr>
              <w:t xml:space="preserve">Университет: </w:t>
            </w:r>
            <w:r>
              <w:rPr>
                <w:rStyle w:val="934"/>
                <w:b/>
                <w:sz w:val="26"/>
                <w:szCs w:val="26"/>
              </w:rPr>
            </w:r>
            <w:r>
              <w:rPr>
                <w:rStyle w:val="934"/>
                <w:b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Ф</w:t>
            </w:r>
            <w:r>
              <w:rPr>
                <w:rStyle w:val="934"/>
                <w:sz w:val="26"/>
                <w:szCs w:val="26"/>
              </w:rPr>
              <w:t xml:space="preserve">едеральное государственное бюджетное образовательное учреждение высшего 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образования «Башкирский государственный медицинский университет» Министерства здравоохранения Российской Федерации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Юридический адрес: 450008, Республика Башкортостан,</w:t>
            </w:r>
            <w:r>
              <w:rPr>
                <w:rStyle w:val="934"/>
                <w:sz w:val="26"/>
                <w:szCs w:val="26"/>
              </w:rPr>
              <w:t xml:space="preserve"> </w:t>
            </w:r>
            <w:r>
              <w:rPr>
                <w:rStyle w:val="934"/>
                <w:sz w:val="26"/>
                <w:szCs w:val="26"/>
              </w:rPr>
              <w:t xml:space="preserve">г. Уфа, ул. Ленина, д.</w:t>
            </w:r>
            <w:r>
              <w:rPr>
                <w:rStyle w:val="934"/>
                <w:sz w:val="26"/>
                <w:szCs w:val="26"/>
              </w:rPr>
              <w:t xml:space="preserve"> </w:t>
            </w:r>
            <w:r>
              <w:rPr>
                <w:rStyle w:val="934"/>
                <w:sz w:val="26"/>
                <w:szCs w:val="26"/>
              </w:rPr>
              <w:t xml:space="preserve">3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Место нахождения: </w:t>
            </w:r>
            <w:r>
              <w:rPr>
                <w:rStyle w:val="934"/>
                <w:sz w:val="26"/>
                <w:szCs w:val="26"/>
              </w:rPr>
              <w:t xml:space="preserve">450008, Республика Башкортостан,</w:t>
            </w:r>
            <w:r>
              <w:rPr>
                <w:rStyle w:val="934"/>
                <w:sz w:val="26"/>
                <w:szCs w:val="26"/>
              </w:rPr>
              <w:t xml:space="preserve"> </w:t>
            </w:r>
            <w:r>
              <w:rPr>
                <w:rStyle w:val="934"/>
                <w:sz w:val="26"/>
                <w:szCs w:val="26"/>
              </w:rPr>
              <w:t xml:space="preserve">г. Уфа, ул. Ленина, д.</w:t>
            </w:r>
            <w:r>
              <w:rPr>
                <w:rStyle w:val="934"/>
                <w:sz w:val="26"/>
                <w:szCs w:val="26"/>
              </w:rPr>
              <w:t xml:space="preserve"> </w:t>
            </w:r>
            <w:r>
              <w:rPr>
                <w:rStyle w:val="934"/>
                <w:sz w:val="26"/>
                <w:szCs w:val="26"/>
              </w:rPr>
              <w:t xml:space="preserve">3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ИНН 0274023088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КПП 027401001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ОКТМО 80701000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УФК по Новосибирской области (ФГБОУ ВО БГМУ Минздрава России, 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л/с 20016X53370)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ОКЦ №1 Сибирского ГУ Банка России// УФК по Новосибирской области, 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г. Новосибирск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Номер казначейского счета: 03214643000000015109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Единый казначейский счет (ЕКС): 40102810445370000043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БИК 015004950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Тел.: +7(347) 272-70-04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rPr>
                <w:rStyle w:val="934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34"/>
                <w:sz w:val="26"/>
                <w:szCs w:val="26"/>
              </w:rPr>
              <w:t xml:space="preserve">электронная почта: </w:t>
            </w:r>
            <w:hyperlink r:id="rId15" w:tooltip="mailto:rectorat@bashgmu.ru" w:history="1">
              <w:r>
                <w:rPr>
                  <w:rStyle w:val="941"/>
                  <w:sz w:val="26"/>
                  <w:szCs w:val="26"/>
                </w:rPr>
                <w:t xml:space="preserve">rectorat@bashgmu.ru</w:t>
              </w:r>
            </w:hyperlink>
            <w:r>
              <w:rPr>
                <w:rStyle w:val="934"/>
                <w:sz w:val="26"/>
                <w:szCs w:val="26"/>
              </w:rPr>
              <w:t xml:space="preserve"> 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6"/>
                <w:szCs w:val="26"/>
              </w:rPr>
              <w:t xml:space="preserve">Проректор по учебной работе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6"/>
                <w:szCs w:val="26"/>
                <w:highlight w:val="none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Style w:val="934"/>
                <w:sz w:val="26"/>
                <w:szCs w:val="26"/>
              </w:rPr>
              <w:t xml:space="preserve">________________</w:t>
            </w:r>
            <w:r>
              <w:rPr>
                <w:rStyle w:val="934"/>
                <w:sz w:val="26"/>
                <w:szCs w:val="26"/>
              </w:rPr>
              <w:t xml:space="preserve"> / Изосимова В.Е.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(подпись)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spacing w:after="460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МП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b/>
                <w:sz w:val="26"/>
                <w:szCs w:val="26"/>
              </w:rPr>
            </w:pPr>
            <w:r>
              <w:rPr>
                <w:rStyle w:val="934"/>
                <w:b/>
                <w:sz w:val="26"/>
                <w:szCs w:val="26"/>
              </w:rPr>
              <w:t xml:space="preserve">Обучающийся:</w:t>
            </w:r>
            <w:r>
              <w:rPr>
                <w:rStyle w:val="934"/>
                <w:b/>
                <w:sz w:val="26"/>
                <w:szCs w:val="26"/>
              </w:rPr>
            </w:r>
            <w:r>
              <w:rPr>
                <w:rStyle w:val="934"/>
                <w:b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ФИО</w:t>
            </w:r>
            <w:r>
              <w:rPr>
                <w:rStyle w:val="934"/>
                <w:sz w:val="26"/>
                <w:szCs w:val="26"/>
              </w:rPr>
              <w:t xml:space="preserve"> (полностью)</w:t>
            </w:r>
            <w:r>
              <w:rPr>
                <w:rStyle w:val="934"/>
                <w:sz w:val="26"/>
                <w:szCs w:val="26"/>
              </w:rPr>
              <w:t xml:space="preserve">:</w:t>
            </w:r>
            <w:r>
              <w:rPr>
                <w:rStyle w:val="934"/>
                <w:sz w:val="26"/>
                <w:szCs w:val="26"/>
              </w:rPr>
              <w:t xml:space="preserve"> </w:t>
            </w:r>
            <w:r>
              <w:rPr>
                <w:rStyle w:val="934"/>
                <w:sz w:val="26"/>
                <w:szCs w:val="26"/>
              </w:rPr>
              <w:t xml:space="preserve">______________________________</w:t>
            </w:r>
            <w:r>
              <w:rPr>
                <w:rStyle w:val="934"/>
                <w:sz w:val="26"/>
                <w:szCs w:val="26"/>
              </w:rPr>
              <w:t xml:space="preserve">_____</w:t>
            </w:r>
            <w:r>
              <w:rPr>
                <w:rStyle w:val="934"/>
                <w:sz w:val="26"/>
                <w:szCs w:val="26"/>
              </w:rPr>
              <w:t xml:space="preserve">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Дата </w:t>
            </w:r>
            <w:r>
              <w:rPr>
                <w:rStyle w:val="934"/>
                <w:sz w:val="26"/>
                <w:szCs w:val="26"/>
              </w:rPr>
              <w:t xml:space="preserve">рождения:_</w:t>
            </w:r>
            <w:r>
              <w:rPr>
                <w:rStyle w:val="934"/>
                <w:sz w:val="26"/>
                <w:szCs w:val="26"/>
              </w:rPr>
              <w:t xml:space="preserve">_______________________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Место </w:t>
            </w:r>
            <w:r>
              <w:rPr>
                <w:rStyle w:val="934"/>
                <w:sz w:val="26"/>
                <w:szCs w:val="26"/>
              </w:rPr>
              <w:t xml:space="preserve">рождения:_</w:t>
            </w:r>
            <w:r>
              <w:rPr>
                <w:rStyle w:val="934"/>
                <w:sz w:val="26"/>
                <w:szCs w:val="26"/>
              </w:rPr>
              <w:t xml:space="preserve">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Адрес </w:t>
            </w:r>
            <w:r>
              <w:rPr>
                <w:rStyle w:val="934"/>
                <w:sz w:val="26"/>
                <w:szCs w:val="26"/>
              </w:rPr>
              <w:t xml:space="preserve">регистрации:_</w:t>
            </w:r>
            <w:r>
              <w:rPr>
                <w:rStyle w:val="934"/>
                <w:sz w:val="26"/>
                <w:szCs w:val="26"/>
              </w:rPr>
              <w:t xml:space="preserve">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_____________________________________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Место </w:t>
            </w:r>
            <w:r>
              <w:rPr>
                <w:rStyle w:val="934"/>
                <w:sz w:val="26"/>
                <w:szCs w:val="26"/>
              </w:rPr>
              <w:t xml:space="preserve">жительства:_</w:t>
            </w:r>
            <w:r>
              <w:rPr>
                <w:rStyle w:val="934"/>
                <w:sz w:val="26"/>
                <w:szCs w:val="26"/>
              </w:rPr>
              <w:t xml:space="preserve">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_____________________________________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Паспорт: серия, номер, кем выдан ______________________________________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Т</w:t>
            </w:r>
            <w:r>
              <w:rPr>
                <w:rStyle w:val="934"/>
                <w:sz w:val="26"/>
                <w:szCs w:val="26"/>
              </w:rPr>
              <w:t xml:space="preserve">елефон: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______________________________________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Адрес электронной почты в сети Интернет: 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  <w:t xml:space="preserve">______________________________________</w:t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СНИЛС (при наличии) _________________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ИНН </w:t>
            </w:r>
            <w:r>
              <w:rPr>
                <w:sz w:val="26"/>
                <w:szCs w:val="26"/>
              </w:rPr>
              <w:t xml:space="preserve">(при наличии) _________________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(подпись)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47"/>
              <w:ind w:firstLine="0"/>
              <w:jc w:val="both"/>
              <w:shd w:val="clear" w:color="auto" w:fill="auto"/>
              <w:tabs>
                <w:tab w:val="left" w:pos="1457" w:leader="none"/>
              </w:tabs>
              <w:rPr>
                <w:rStyle w:val="934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  <w:r>
              <w:rPr>
                <w:rStyle w:val="934"/>
                <w:sz w:val="26"/>
                <w:szCs w:val="26"/>
              </w:rPr>
            </w:r>
          </w:p>
        </w:tc>
      </w:tr>
    </w:tbl>
    <w:p>
      <w:pPr>
        <w:pStyle w:val="947"/>
        <w:ind w:firstLine="0"/>
        <w:spacing w:after="460"/>
        <w:shd w:val="clear" w:color="auto" w:fill="auto"/>
        <w:tabs>
          <w:tab w:val="left" w:pos="1457" w:leader="none"/>
        </w:tabs>
        <w:rPr>
          <w:rStyle w:val="934"/>
          <w:sz w:val="26"/>
          <w:szCs w:val="26"/>
        </w:rPr>
      </w:pPr>
      <w:r>
        <w:rPr>
          <w:sz w:val="26"/>
          <w:szCs w:val="26"/>
        </w:rPr>
      </w:r>
      <w:r>
        <w:rPr>
          <w:rStyle w:val="934"/>
          <w:sz w:val="26"/>
          <w:szCs w:val="26"/>
        </w:rPr>
      </w:r>
      <w:r>
        <w:rPr>
          <w:rStyle w:val="934"/>
          <w:sz w:val="26"/>
          <w:szCs w:val="26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2240" w:h="15840" w:orient="portrait"/>
      <w:pgMar w:top="864" w:right="705" w:bottom="519" w:left="133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Times New Roman">
    <w:panose1 w:val="02020603050405020304"/>
  </w:font>
  <w:font w:name="Noto Sans CJK SC">
    <w:panose1 w:val="020B0500000000000000"/>
  </w:font>
  <w:font w:name="Calibri">
    <w:panose1 w:val="020F0502020204030204"/>
  </w:font>
  <w:font w:name="Courier New">
    <w:panose1 w:val="02070309020205020404"/>
  </w:font>
  <w:font w:name="Wingdings">
    <w:panose1 w:val="05010000000000000000"/>
  </w:font>
  <w:font w:name="Noto Serif CJK SC">
    <w:panose1 w:val="02020400000000000000"/>
  </w:font>
  <w:font w:name="FreeSans">
    <w:panose1 w:val="020B0504020202020204"/>
  </w:font>
  <w:font w:name="Arial Unicode MS">
    <w:panose1 w:val="020B0604020202020204"/>
  </w:font>
  <w:font w:name="Arial">
    <w:panose1 w:val="020B0604020202020204"/>
  </w:font>
  <w:font w:name="PT Astra Serif">
    <w:panose1 w:val="020A0603040505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72390" distB="72390" distL="0" distR="0" simplePos="0" relativeHeight="251658240" behindDoc="1" locked="0" layoutInCell="0" allowOverlap="1">
              <wp:simplePos x="0" y="0"/>
              <wp:positionH relativeFrom="page">
                <wp:posOffset>4148455</wp:posOffset>
              </wp:positionH>
              <wp:positionV relativeFrom="page">
                <wp:posOffset>247015</wp:posOffset>
              </wp:positionV>
              <wp:extent cx="116205" cy="350520"/>
              <wp:effectExtent l="0" t="0" r="0" b="0"/>
              <wp:wrapNone/>
              <wp:docPr id="1" name="Врезка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16205" cy="350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949"/>
                            <w:rPr>
                              <w:sz w:val="24"/>
                            </w:rPr>
                          </w:pPr>
                          <w:r>
                            <w:rPr>
                              <w:rStyle w:val="93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936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93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936"/>
                              <w:sz w:val="24"/>
                            </w:rPr>
                            <w:t xml:space="preserve">18</w:t>
                          </w:r>
                          <w:r>
                            <w:rPr>
                              <w:rStyle w:val="936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58240;o:allowoverlap:true;o:allowincell:false;mso-position-horizontal-relative:page;margin-left:326.65pt;mso-position-horizontal:absolute;mso-position-vertical-relative:page;margin-top:19.45pt;mso-position-vertical:absolute;width:9.15pt;height:27.60pt;mso-wrap-distance-left:0.00pt;mso-wrap-distance-top:5.70pt;mso-wrap-distance-right:0.00pt;mso-wrap-distance-bottom:5.70pt;v-text-anchor:top;visibility:visible;" fillcolor="#FFFFFF">
              <v:fill opacity="100f"/>
              <v:textbox inset="0,0,0,0">
                <w:txbxContent>
                  <w:p>
                    <w:pPr>
                      <w:pStyle w:val="949"/>
                      <w:rPr>
                        <w:sz w:val="24"/>
                      </w:rPr>
                    </w:pPr>
                    <w:r>
                      <w:rPr>
                        <w:rStyle w:val="936"/>
                        <w:sz w:val="24"/>
                      </w:rPr>
                      <w:fldChar w:fldCharType="begin"/>
                    </w:r>
                    <w:r>
                      <w:rPr>
                        <w:rStyle w:val="936"/>
                        <w:sz w:val="24"/>
                      </w:rPr>
                      <w:instrText xml:space="preserve"> PAGE </w:instrText>
                    </w:r>
                    <w:r>
                      <w:rPr>
                        <w:rStyle w:val="936"/>
                        <w:sz w:val="24"/>
                      </w:rPr>
                      <w:fldChar w:fldCharType="separate"/>
                    </w:r>
                    <w:r>
                      <w:rPr>
                        <w:rStyle w:val="936"/>
                        <w:sz w:val="24"/>
                      </w:rPr>
                      <w:t xml:space="preserve">18</w:t>
                    </w:r>
                    <w:r>
                      <w:rPr>
                        <w:rStyle w:val="936"/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decimal"/>
      <w:isLgl w:val="false"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4">
      <w:start w:val="1"/>
      <w:numFmt w:val="decimal"/>
      <w:isLgl w:val="false"/>
      <w:suff w:val="tab"/>
      <w:lvlText w:val="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5">
      <w:start w:val="1"/>
      <w:numFmt w:val="decimal"/>
      <w:isLgl w:val="false"/>
      <w:suff w:val="tab"/>
      <w:lvlText w:val="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7">
      <w:start w:val="1"/>
      <w:numFmt w:val="decimal"/>
      <w:isLgl w:val="false"/>
      <w:suff w:val="tab"/>
      <w:lvlText w:val="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  <w:lvl w:ilvl="8">
      <w:start w:val="1"/>
      <w:numFmt w:val="decimal"/>
      <w:isLgl w:val="false"/>
      <w:suff w:val="tab"/>
      <w:lvlText w:val="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4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5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3"/>
      <w:numFmt w:val="decimal"/>
      <w:isLgl w:val="false"/>
      <w:suff w:val="tab"/>
      <w:lvlText w:val="5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3"/>
      <w:numFmt w:val="decimal"/>
      <w:isLgl w:val="false"/>
      <w:suff w:val="tab"/>
      <w:lvlText w:val="5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3"/>
      <w:numFmt w:val="decimal"/>
      <w:isLgl w:val="false"/>
      <w:suff w:val="tab"/>
      <w:lvlText w:val="5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3"/>
      <w:numFmt w:val="decimal"/>
      <w:isLgl w:val="false"/>
      <w:suff w:val="tab"/>
      <w:lvlText w:val="5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3"/>
      <w:numFmt w:val="decimal"/>
      <w:isLgl w:val="false"/>
      <w:suff w:val="tab"/>
      <w:lvlText w:val="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3"/>
      <w:numFmt w:val="decimal"/>
      <w:isLgl w:val="false"/>
      <w:suff w:val="tab"/>
      <w:lvlText w:val="5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3"/>
      <w:numFmt w:val="decimal"/>
      <w:isLgl w:val="false"/>
      <w:suff w:val="tab"/>
      <w:lvlText w:val="5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3"/>
      <w:numFmt w:val="decimal"/>
      <w:isLgl w:val="false"/>
      <w:suff w:val="tab"/>
      <w:lvlText w:val="5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3">
      <w:start w:val="1"/>
      <w:numFmt w:val="decimal"/>
      <w:isLgl w:val="false"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5.2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5.2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decimal"/>
      <w:isLgl w:val="false"/>
      <w:suff w:val="tab"/>
      <w:lvlText w:val="5.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decimal"/>
      <w:isLgl w:val="false"/>
      <w:suff w:val="tab"/>
      <w:lvlText w:val="5.2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5.2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5.2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5.2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5.2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5.2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5.4.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5.4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decimal"/>
      <w:isLgl w:val="false"/>
      <w:suff w:val="tab"/>
      <w:lvlText w:val="5.4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decimal"/>
      <w:isLgl w:val="false"/>
      <w:suff w:val="tab"/>
      <w:lvlText w:val="5.4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5.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5.4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5.4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5.4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5.4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1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2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3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bullet"/>
      <w:isLgl w:val="false"/>
      <w:suff w:val="tab"/>
      <w:lvlText w:val="□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i w:val="0"/>
        <w:caps w:val="0"/>
        <w:smallCaps w:val="0"/>
        <w:strike w:val="0"/>
        <w:spacing w:val="0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□"/>
      <w:lvlJc w:val="left"/>
      <w:pPr>
        <w:ind w:left="72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spacing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spacing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6"/>
      </w:rPr>
    </w:lvl>
    <w:lvl w:ilvl="3">
      <w:start w:val="1"/>
      <w:numFmt w:val="decimal"/>
      <w:isLgl w:val="false"/>
      <w:suff w:val="tab"/>
      <w:lvlText w:val="%2.%3.%4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4">
      <w:start w:val="1"/>
      <w:numFmt w:val="decimal"/>
      <w:isLgl w:val="false"/>
      <w:suff w:val="tab"/>
      <w:lvlText w:val="%3.%4.%5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5">
      <w:start w:val="1"/>
      <w:numFmt w:val="decimal"/>
      <w:isLgl w:val="false"/>
      <w:suff w:val="tab"/>
      <w:lvlText w:val="%4.%5.%6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6">
      <w:start w:val="1"/>
      <w:numFmt w:val="decimal"/>
      <w:isLgl w:val="false"/>
      <w:suff w:val="tab"/>
      <w:lvlText w:val="%5.%6.%7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7">
      <w:start w:val="1"/>
      <w:numFmt w:val="decimal"/>
      <w:isLgl w:val="false"/>
      <w:suff w:val="tab"/>
      <w:lvlText w:val="%6.%7.%8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  <w:lvl w:ilvl="8">
      <w:start w:val="1"/>
      <w:numFmt w:val="decimal"/>
      <w:isLgl w:val="false"/>
      <w:suff w:val="tab"/>
      <w:lvlText w:val="%7.%8.%9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spacing w:val="0"/>
        <w:sz w:val="20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 w:default="1">
    <w:name w:val="Normal"/>
    <w:qFormat/>
    <w:pPr>
      <w:widowControl w:val="off"/>
    </w:pPr>
    <w:rPr>
      <w:rFonts w:ascii="Courier New" w:hAnsi="Courier New" w:eastAsia="Calibri" w:cs="Calibri"/>
      <w:color w:val="000000"/>
      <w:lang w:eastAsia="ru-RU"/>
    </w:rPr>
  </w:style>
  <w:style w:type="paragraph" w:styleId="737">
    <w:name w:val="Heading 1"/>
    <w:basedOn w:val="736"/>
    <w:next w:val="736"/>
    <w:link w:val="7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7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7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2">
    <w:name w:val="Heading 6"/>
    <w:basedOn w:val="736"/>
    <w:next w:val="736"/>
    <w:link w:val="7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Heading 1 Char"/>
    <w:basedOn w:val="746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Heading 2 Char"/>
    <w:basedOn w:val="746"/>
    <w:uiPriority w:val="9"/>
    <w:rPr>
      <w:rFonts w:ascii="Arial" w:hAnsi="Arial" w:eastAsia="Arial" w:cs="Arial"/>
      <w:sz w:val="34"/>
    </w:rPr>
  </w:style>
  <w:style w:type="character" w:styleId="751" w:customStyle="1">
    <w:name w:val="Heading 3 Char"/>
    <w:basedOn w:val="746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Heading 4 Char"/>
    <w:basedOn w:val="746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Heading 5 Char"/>
    <w:basedOn w:val="746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Heading 6 Char"/>
    <w:basedOn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basedOn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Heading 8 Char"/>
    <w:basedOn w:val="746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Heading 9 Char"/>
    <w:basedOn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Title Char"/>
    <w:basedOn w:val="746"/>
    <w:uiPriority w:val="10"/>
    <w:rPr>
      <w:sz w:val="48"/>
      <w:szCs w:val="48"/>
    </w:rPr>
  </w:style>
  <w:style w:type="character" w:styleId="759" w:customStyle="1">
    <w:name w:val="Subtitle Char"/>
    <w:basedOn w:val="746"/>
    <w:uiPriority w:val="11"/>
    <w:rPr>
      <w:sz w:val="24"/>
      <w:szCs w:val="24"/>
    </w:rPr>
  </w:style>
  <w:style w:type="character" w:styleId="760" w:customStyle="1">
    <w:name w:val="Quote Char"/>
    <w:uiPriority w:val="29"/>
    <w:rPr>
      <w:i/>
    </w:rPr>
  </w:style>
  <w:style w:type="character" w:styleId="761" w:customStyle="1">
    <w:name w:val="Intense Quote Char"/>
    <w:uiPriority w:val="30"/>
    <w:rPr>
      <w:i/>
    </w:rPr>
  </w:style>
  <w:style w:type="character" w:styleId="762" w:customStyle="1">
    <w:name w:val="Header Char"/>
    <w:basedOn w:val="746"/>
    <w:uiPriority w:val="99"/>
  </w:style>
  <w:style w:type="character" w:styleId="763" w:customStyle="1">
    <w:name w:val="Footer Char"/>
    <w:basedOn w:val="746"/>
    <w:uiPriority w:val="99"/>
  </w:style>
  <w:style w:type="character" w:styleId="764" w:customStyle="1">
    <w:name w:val="Caption Char"/>
    <w:basedOn w:val="746"/>
    <w:uiPriority w:val="35"/>
    <w:rPr>
      <w:b/>
      <w:bCs/>
      <w:color w:val="18a303" w:themeColor="accent1"/>
      <w:sz w:val="18"/>
      <w:szCs w:val="18"/>
    </w:rPr>
  </w:style>
  <w:style w:type="character" w:styleId="765" w:customStyle="1">
    <w:name w:val="Footnote Text Char"/>
    <w:uiPriority w:val="99"/>
    <w:rPr>
      <w:sz w:val="18"/>
    </w:rPr>
  </w:style>
  <w:style w:type="character" w:styleId="766" w:customStyle="1">
    <w:name w:val="Endnote Text Char"/>
    <w:uiPriority w:val="99"/>
    <w:rPr>
      <w:sz w:val="20"/>
    </w:rPr>
  </w:style>
  <w:style w:type="character" w:styleId="767" w:customStyle="1">
    <w:name w:val="Заголовок 1 Знак"/>
    <w:basedOn w:val="746"/>
    <w:link w:val="737"/>
    <w:uiPriority w:val="9"/>
    <w:rPr>
      <w:rFonts w:ascii="Arial" w:hAnsi="Arial" w:eastAsia="Arial" w:cs="Arial"/>
      <w:sz w:val="40"/>
      <w:szCs w:val="40"/>
    </w:rPr>
  </w:style>
  <w:style w:type="character" w:styleId="768" w:customStyle="1">
    <w:name w:val="Заголовок 2 Знак"/>
    <w:basedOn w:val="746"/>
    <w:link w:val="738"/>
    <w:uiPriority w:val="9"/>
    <w:rPr>
      <w:rFonts w:ascii="Arial" w:hAnsi="Arial" w:eastAsia="Arial" w:cs="Arial"/>
      <w:sz w:val="34"/>
    </w:rPr>
  </w:style>
  <w:style w:type="character" w:styleId="769" w:customStyle="1">
    <w:name w:val="Заголовок 3 Знак"/>
    <w:basedOn w:val="746"/>
    <w:link w:val="739"/>
    <w:uiPriority w:val="9"/>
    <w:rPr>
      <w:rFonts w:ascii="Arial" w:hAnsi="Arial" w:eastAsia="Arial" w:cs="Arial"/>
      <w:sz w:val="30"/>
      <w:szCs w:val="30"/>
    </w:rPr>
  </w:style>
  <w:style w:type="character" w:styleId="770" w:customStyle="1">
    <w:name w:val="Заголовок 4 Знак"/>
    <w:basedOn w:val="746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771" w:customStyle="1">
    <w:name w:val="Заголовок 5 Знак"/>
    <w:basedOn w:val="746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72" w:customStyle="1">
    <w:name w:val="Заголовок 6 Знак"/>
    <w:basedOn w:val="746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73" w:customStyle="1">
    <w:name w:val="Заголовок 7 Знак"/>
    <w:basedOn w:val="746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4" w:customStyle="1">
    <w:name w:val="Заголовок 8 Знак"/>
    <w:basedOn w:val="746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75" w:customStyle="1">
    <w:name w:val="Заголовок 9 Знак"/>
    <w:basedOn w:val="746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List Paragraph"/>
    <w:basedOn w:val="736"/>
    <w:uiPriority w:val="34"/>
    <w:qFormat/>
    <w:pPr>
      <w:contextualSpacing/>
      <w:ind w:left="720"/>
    </w:pPr>
  </w:style>
  <w:style w:type="paragraph" w:styleId="777">
    <w:name w:val="No Spacing"/>
    <w:uiPriority w:val="1"/>
    <w:qFormat/>
  </w:style>
  <w:style w:type="paragraph" w:styleId="778">
    <w:name w:val="Title"/>
    <w:basedOn w:val="736"/>
    <w:next w:val="942"/>
    <w:link w:val="779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character" w:styleId="779" w:customStyle="1">
    <w:name w:val="Заголовок Знак"/>
    <w:basedOn w:val="746"/>
    <w:link w:val="778"/>
    <w:uiPriority w:val="10"/>
    <w:rPr>
      <w:sz w:val="48"/>
      <w:szCs w:val="48"/>
    </w:rPr>
  </w:style>
  <w:style w:type="paragraph" w:styleId="780">
    <w:name w:val="Subtitle"/>
    <w:basedOn w:val="736"/>
    <w:next w:val="736"/>
    <w:link w:val="781"/>
    <w:uiPriority w:val="11"/>
    <w:qFormat/>
    <w:pPr>
      <w:spacing w:before="200" w:after="200"/>
    </w:pPr>
  </w:style>
  <w:style w:type="character" w:styleId="781" w:customStyle="1">
    <w:name w:val="Подзаголовок Знак"/>
    <w:basedOn w:val="746"/>
    <w:link w:val="780"/>
    <w:uiPriority w:val="11"/>
    <w:rPr>
      <w:sz w:val="24"/>
      <w:szCs w:val="24"/>
    </w:rPr>
  </w:style>
  <w:style w:type="paragraph" w:styleId="782">
    <w:name w:val="Quote"/>
    <w:basedOn w:val="736"/>
    <w:next w:val="736"/>
    <w:link w:val="783"/>
    <w:uiPriority w:val="29"/>
    <w:qFormat/>
    <w:pPr>
      <w:ind w:left="720" w:right="720"/>
    </w:pPr>
    <w:rPr>
      <w:i/>
    </w:rPr>
  </w:style>
  <w:style w:type="character" w:styleId="783" w:customStyle="1">
    <w:name w:val="Цитата 2 Знак"/>
    <w:link w:val="782"/>
    <w:uiPriority w:val="29"/>
    <w:rPr>
      <w:i/>
    </w:rPr>
  </w:style>
  <w:style w:type="paragraph" w:styleId="784">
    <w:name w:val="Intense Quote"/>
    <w:basedOn w:val="736"/>
    <w:next w:val="736"/>
    <w:link w:val="7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 w:customStyle="1">
    <w:name w:val="Выделенная цитата Знак"/>
    <w:link w:val="784"/>
    <w:uiPriority w:val="30"/>
    <w:rPr>
      <w:i/>
    </w:rPr>
  </w:style>
  <w:style w:type="character" w:styleId="786" w:customStyle="1">
    <w:name w:val="Верхний колонтитул Знак"/>
    <w:basedOn w:val="746"/>
    <w:link w:val="956"/>
    <w:uiPriority w:val="99"/>
  </w:style>
  <w:style w:type="paragraph" w:styleId="787">
    <w:name w:val="Footer"/>
    <w:basedOn w:val="736"/>
    <w:link w:val="78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88" w:customStyle="1">
    <w:name w:val="Нижний колонтитул Знак"/>
    <w:basedOn w:val="746"/>
    <w:link w:val="787"/>
    <w:uiPriority w:val="99"/>
  </w:style>
  <w:style w:type="character" w:styleId="789" w:customStyle="1">
    <w:name w:val="Название объекта Знак"/>
    <w:basedOn w:val="746"/>
    <w:link w:val="944"/>
    <w:uiPriority w:val="35"/>
    <w:rPr>
      <w:b/>
      <w:bCs/>
      <w:color w:val="18a303" w:themeColor="accent1"/>
      <w:sz w:val="18"/>
      <w:szCs w:val="18"/>
    </w:rPr>
  </w:style>
  <w:style w:type="table" w:styleId="79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7FC76" w:themeColor="accent1" w:themeTint="67" w:sz="4" w:space="0"/>
          <w:left w:val="single" w:color="87FC76" w:themeColor="accent1" w:themeTint="67" w:sz="4" w:space="0"/>
          <w:bottom w:val="single" w:color="87FC76" w:themeColor="accent1" w:themeTint="67" w:sz="4" w:space="0"/>
          <w:right w:val="single" w:color="87FC76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52FB39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76CBFC" w:themeColor="accent2" w:themeTint="67" w:sz="4" w:space="0"/>
          <w:left w:val="single" w:color="76CBFC" w:themeColor="accent2" w:themeTint="67" w:sz="4" w:space="0"/>
          <w:bottom w:val="single" w:color="76CBFC" w:themeColor="accent2" w:themeTint="67" w:sz="4" w:space="0"/>
          <w:right w:val="single" w:color="76CBFC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39B4FB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CA776" w:themeColor="accent3" w:themeTint="67" w:sz="4" w:space="0"/>
          <w:left w:val="single" w:color="FCA776" w:themeColor="accent3" w:themeTint="67" w:sz="4" w:space="0"/>
          <w:bottom w:val="single" w:color="FCA776" w:themeColor="accent3" w:themeTint="67" w:sz="4" w:space="0"/>
          <w:right w:val="single" w:color="FCA776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B8039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A76FC" w:themeColor="accent4" w:themeTint="67" w:sz="4" w:space="0"/>
          <w:left w:val="single" w:color="EA76FC" w:themeColor="accent4" w:themeTint="67" w:sz="4" w:space="0"/>
          <w:bottom w:val="single" w:color="EA76FC" w:themeColor="accent4" w:themeTint="67" w:sz="4" w:space="0"/>
          <w:right w:val="single" w:color="EA76FC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139FB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282" w:themeColor="accent5" w:themeTint="67" w:sz="4" w:space="0"/>
          <w:left w:val="single" w:color="FFE282" w:themeColor="accent5" w:themeTint="67" w:sz="4" w:space="0"/>
          <w:bottom w:val="single" w:color="FFE282" w:themeColor="accent5" w:themeTint="67" w:sz="4" w:space="0"/>
          <w:right w:val="single" w:color="FFE282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54A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09D9C" w:themeColor="accent6" w:themeTint="67" w:sz="4" w:space="0"/>
          <w:left w:val="single" w:color="F09D9C" w:themeColor="accent6" w:themeTint="67" w:sz="4" w:space="0"/>
          <w:bottom w:val="single" w:color="F09D9C" w:themeColor="accent6" w:themeTint="67" w:sz="4" w:space="0"/>
          <w:right w:val="single" w:color="F09D9C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E9727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BBE03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BBE03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36B3FB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36B3FB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43E03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43E03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032FB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E032FB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9C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9211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1BBE03" w:themeColor="accent1" w:themeTint="EA" w:sz="4" w:space="0"/>
        <w:insideH w:val="single" w:color="1BBE03" w:themeColor="accent1" w:themeTint="EA" w:sz="4" w:space="0"/>
        <w:insideV w:val="single" w:color="1BBE03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2fdb9" w:themeColor="accent1" w:themeTint="34" w:fill="c2fdb9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  <w:insideV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4fdbc" w:themeColor="accent1" w:themeTint="32" w:fill="c4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4fdbc" w:themeColor="accent1" w:themeTint="32" w:fill="c4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bbe03" w:themeColor="accent1" w:themeTint="EA" w:fill="1bbe03" w:themeFill="accent1" w:themeFillTint="EA"/>
        <w:tcBorders>
          <w:top w:val="single" w:color="1BBE03" w:themeColor="accent1" w:themeTint="EA" w:sz="4" w:space="0"/>
          <w:left w:val="single" w:color="1BBE03" w:themeColor="accent1" w:themeTint="EA" w:sz="4" w:space="0"/>
          <w:bottom w:val="single" w:color="1BBE03" w:themeColor="accent1" w:themeTint="EA" w:sz="4" w:space="0"/>
          <w:right w:val="single" w:color="1BBE03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BBE03" w:themeColor="accent1" w:themeTint="EA" w:sz="4" w:space="0"/>
        </w:tcBorders>
      </w:tcPr>
    </w:tblStylePr>
  </w:style>
  <w:style w:type="table" w:styleId="82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  <w:insideV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36b3fb" w:themeColor="accent2" w:themeTint="97" w:fill="36b3fb" w:themeFill="accent2" w:themeFillTint="97"/>
        <w:tcBorders>
          <w:top w:val="single" w:color="36B3FB" w:themeColor="accent2" w:themeTint="97" w:sz="4" w:space="0"/>
          <w:left w:val="single" w:color="36B3FB" w:themeColor="accent2" w:themeTint="97" w:sz="4" w:space="0"/>
          <w:bottom w:val="single" w:color="36B3FB" w:themeColor="accent2" w:themeTint="97" w:sz="4" w:space="0"/>
          <w:right w:val="single" w:color="36B3FB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36B3FB" w:themeColor="accent2" w:themeTint="97" w:sz="4" w:space="0"/>
        </w:tcBorders>
      </w:tcPr>
    </w:tblStylePr>
  </w:style>
  <w:style w:type="table" w:styleId="82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  <w:insideV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43e03" w:themeColor="accent3" w:themeTint="FE" w:fill="a43e03" w:themeFill="accent3" w:themeFillTint="FE"/>
        <w:tcBorders>
          <w:top w:val="single" w:color="A43E03" w:themeColor="accent3" w:themeTint="FE" w:sz="4" w:space="0"/>
          <w:left w:val="single" w:color="A43E03" w:themeColor="accent3" w:themeTint="FE" w:sz="4" w:space="0"/>
          <w:bottom w:val="single" w:color="A43E03" w:themeColor="accent3" w:themeTint="FE" w:sz="4" w:space="0"/>
          <w:right w:val="single" w:color="A43E03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43E03" w:themeColor="accent3" w:themeTint="FE" w:sz="4" w:space="0"/>
        </w:tcBorders>
      </w:tcPr>
    </w:tblStylePr>
  </w:style>
  <w:style w:type="table" w:styleId="82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  <w:insideV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032fb" w:themeColor="accent4" w:themeTint="9A" w:fill="e032fb" w:themeFill="accent4" w:themeFillTint="9A"/>
        <w:tcBorders>
          <w:top w:val="single" w:color="E032FB" w:themeColor="accent4" w:themeTint="9A" w:sz="4" w:space="0"/>
          <w:left w:val="single" w:color="E032FB" w:themeColor="accent4" w:themeTint="9A" w:sz="4" w:space="0"/>
          <w:bottom w:val="single" w:color="E032FB" w:themeColor="accent4" w:themeTint="9A" w:sz="4" w:space="0"/>
          <w:right w:val="single" w:color="E032FB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032FB" w:themeColor="accent4" w:themeTint="9A" w:sz="4" w:space="0"/>
        </w:tcBorders>
      </w:tcPr>
    </w:tblStylePr>
  </w:style>
  <w:style w:type="table" w:styleId="82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  <w:tcBorders>
          <w:top w:val="single" w:color="C99C00" w:themeColor="accent5" w:sz="4" w:space="0"/>
          <w:left w:val="single" w:color="C99C00" w:themeColor="accent5" w:sz="4" w:space="0"/>
          <w:bottom w:val="single" w:color="C99C00" w:themeColor="accent5" w:sz="4" w:space="0"/>
          <w:right w:val="single" w:color="C99C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9C00" w:themeColor="accent5" w:sz="4" w:space="0"/>
        </w:tcBorders>
      </w:tcPr>
    </w:tblStylePr>
  </w:style>
  <w:style w:type="table" w:styleId="82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  <w:tcBorders>
          <w:top w:val="single" w:color="C9211E" w:themeColor="accent6" w:sz="4" w:space="0"/>
          <w:left w:val="single" w:color="C9211E" w:themeColor="accent6" w:sz="4" w:space="0"/>
          <w:bottom w:val="single" w:color="C9211E" w:themeColor="accent6" w:sz="4" w:space="0"/>
          <w:right w:val="single" w:color="C9211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211E" w:themeColor="accent6" w:sz="4" w:space="0"/>
        </w:tcBorders>
      </w:tcPr>
    </w:tblStylePr>
  </w:style>
  <w:style w:type="table" w:styleId="82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2fdb9" w:themeColor="accent1" w:themeTint="34" w:fill="c2fdb9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7fc63" w:themeColor="accent1" w:themeTint="75" w:fill="77fc63" w:themeFill="accent1" w:themeFillTint="75"/>
      </w:tcPr>
    </w:tblStylePr>
    <w:tblStylePr w:type="band1Vert">
      <w:tcPr>
        <w:shd w:val="clear" w:color="77fc63" w:themeColor="accent1" w:themeTint="75" w:fill="77fc6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ce6fd" w:themeColor="accent2" w:themeTint="32" w:fill="bce6fd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63c4fc" w:themeColor="accent2" w:themeTint="75" w:fill="63c4fc" w:themeFill="accent2" w:themeFillTint="75"/>
      </w:tcPr>
    </w:tblStylePr>
    <w:tblStylePr w:type="band1Vert">
      <w:tcPr>
        <w:shd w:val="clear" w:color="63c4fc" w:themeColor="accent2" w:themeTint="75" w:fill="63c4f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d2b9" w:themeColor="accent3" w:themeTint="34" w:fill="fdd2b9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c9b63" w:themeColor="accent3" w:themeTint="75" w:fill="fc9b63" w:themeFill="accent3" w:themeFillTint="75"/>
      </w:tcPr>
    </w:tblStylePr>
    <w:tblStylePr w:type="band1Vert">
      <w:tcPr>
        <w:shd w:val="clear" w:color="fc9b63" w:themeColor="accent3" w:themeTint="75" w:fill="fc9b6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4b9fd" w:themeColor="accent4" w:themeTint="34" w:fill="f4b9fd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763fc" w:themeColor="accent4" w:themeTint="75" w:fill="e763fc" w:themeFill="accent4" w:themeFillTint="75"/>
      </w:tcPr>
    </w:tblStylePr>
    <w:tblStylePr w:type="band1Vert">
      <w:tcPr>
        <w:shd w:val="clear" w:color="e763fc" w:themeColor="accent4" w:themeTint="75" w:fill="e763fc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0bf" w:themeColor="accent5" w:themeTint="34" w:fill="fff0bf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e71" w:themeColor="accent5" w:themeTint="75" w:fill="ffde71" w:themeFill="accent5" w:themeFillTint="75"/>
      </w:tcPr>
    </w:tblStylePr>
    <w:tblStylePr w:type="band1Vert">
      <w:tcPr>
        <w:shd w:val="clear" w:color="ffde71" w:themeColor="accent5" w:themeTint="75" w:fill="ffde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7cdcd" w:themeColor="accent6" w:themeTint="34" w:fill="f7cdcd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e908f" w:themeColor="accent6" w:themeTint="75" w:fill="ee908f" w:themeFill="accent6" w:themeFillTint="75"/>
      </w:tcPr>
    </w:tblStylePr>
    <w:tblStylePr w:type="band1Vert">
      <w:tcPr>
        <w:shd w:val="clear" w:color="ee908f" w:themeColor="accent6" w:themeTint="75" w:fill="ee90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  <w:tcBorders>
          <w:top w:val="single" w:color="FFFFFF" w:themeColor="light1" w:sz="4" w:space="0"/>
        </w:tcBorders>
      </w:tcPr>
    </w:tblStylePr>
  </w:style>
  <w:style w:type="table" w:styleId="83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6AFC55" w:themeColor="accent1" w:themeTint="80" w:sz="4" w:space="0"/>
        <w:left w:val="single" w:color="6AFC55" w:themeColor="accent1" w:themeTint="80" w:sz="4" w:space="0"/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6afc55" w:themeColor="accent1" w:themeTint="80" w:themeShade="95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  <w:tblStylePr w:type="firstCol">
      <w:rPr>
        <w:b/>
        <w:color w:val="6afc55" w:themeColor="accent1" w:themeTint="80" w:themeShade="95"/>
      </w:rPr>
    </w:tblStylePr>
    <w:tblStylePr w:type="firstRow">
      <w:rPr>
        <w:b/>
        <w:color w:val="6afc55" w:themeColor="accent1" w:themeTint="80" w:themeShade="95"/>
      </w:rPr>
      <w:tcPr>
        <w:tcBorders>
          <w:bottom w:val="single" w:color="6AFC55" w:themeColor="accent1" w:themeTint="80" w:sz="12" w:space="0"/>
        </w:tcBorders>
      </w:tcPr>
    </w:tblStylePr>
    <w:tblStylePr w:type="lastCol">
      <w:rPr>
        <w:b/>
        <w:color w:val="6afc55" w:themeColor="accent1" w:themeTint="80" w:themeShade="95"/>
      </w:rPr>
    </w:tblStylePr>
    <w:tblStylePr w:type="lastRow">
      <w:rPr>
        <w:b/>
        <w:color w:val="6afc55" w:themeColor="accent1" w:themeTint="80" w:themeShade="95"/>
      </w:rPr>
    </w:tblStylePr>
  </w:style>
  <w:style w:type="table" w:styleId="83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36B3FB" w:themeColor="accent2" w:themeTint="97" w:sz="12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</w:tblStylePr>
  </w:style>
  <w:style w:type="table" w:styleId="83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A43E03" w:themeColor="accent3" w:themeTint="FE" w:sz="4" w:space="0"/>
        <w:left w:val="single" w:color="A43E03" w:themeColor="accent3" w:themeTint="FE" w:sz="4" w:space="0"/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43e03" w:themeColor="accent3" w:themeTint="FE" w:themeShade="95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  <w:tblStylePr w:type="firstCol">
      <w:rPr>
        <w:b/>
        <w:color w:val="a43e03" w:themeColor="accent3" w:themeTint="FE" w:themeShade="95"/>
      </w:rPr>
    </w:tblStylePr>
    <w:tblStylePr w:type="firstRow">
      <w:rPr>
        <w:b/>
        <w:color w:val="a43e03" w:themeColor="accent3" w:themeTint="FE" w:themeShade="95"/>
      </w:rPr>
      <w:tcPr>
        <w:tcBorders>
          <w:bottom w:val="single" w:color="A43E03" w:themeColor="accent3" w:themeTint="FE" w:sz="12" w:space="0"/>
        </w:tcBorders>
      </w:tcPr>
    </w:tblStylePr>
    <w:tblStylePr w:type="lastCol">
      <w:rPr>
        <w:b/>
        <w:color w:val="a43e03" w:themeColor="accent3" w:themeTint="FE" w:themeShade="95"/>
      </w:rPr>
    </w:tblStylePr>
    <w:tblStylePr w:type="lastRow">
      <w:rPr>
        <w:b/>
        <w:color w:val="a43e03" w:themeColor="accent3" w:themeTint="FE" w:themeShade="95"/>
      </w:rPr>
    </w:tblStylePr>
  </w:style>
  <w:style w:type="table" w:styleId="83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E032FB" w:themeColor="accent4" w:themeTint="9A" w:sz="12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</w:tblStylePr>
  </w:style>
  <w:style w:type="table" w:styleId="83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C99C00" w:themeColor="accent5" w:sz="4" w:space="0"/>
        <w:left w:val="single" w:color="C99C00" w:themeColor="accent5" w:sz="4" w:space="0"/>
        <w:bottom w:val="single" w:color="C99C00" w:themeColor="accent5" w:sz="4" w:space="0"/>
        <w:right w:val="single" w:color="C99C00" w:themeColor="accent5" w:sz="4" w:space="0"/>
        <w:insideH w:val="single" w:color="C99C00" w:themeColor="accent5" w:sz="4" w:space="0"/>
        <w:insideV w:val="single" w:color="C99C00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9C00" w:themeColor="accent5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83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C9211E" w:themeColor="accent6" w:sz="4" w:space="0"/>
        <w:left w:val="single" w:color="C9211E" w:themeColor="accent6" w:sz="4" w:space="0"/>
        <w:bottom w:val="single" w:color="C9211E" w:themeColor="accent6" w:sz="4" w:space="0"/>
        <w:right w:val="single" w:color="C9211E" w:themeColor="accent6" w:sz="4" w:space="0"/>
        <w:insideH w:val="single" w:color="C9211E" w:themeColor="accent6" w:sz="4" w:space="0"/>
        <w:insideV w:val="single" w:color="C9211E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b/>
        <w:color w:val="755a00" w:themeColor="accent5" w:themeShade="95"/>
      </w:rPr>
    </w:tblStylePr>
    <w:tblStylePr w:type="firstRow">
      <w:rPr>
        <w:b/>
        <w:color w:val="755a00" w:themeColor="accent5" w:themeShade="95"/>
      </w:rPr>
      <w:tcPr>
        <w:tcBorders>
          <w:bottom w:val="single" w:color="C9211E" w:themeColor="accent6" w:sz="12" w:space="0"/>
        </w:tcBorders>
      </w:tcPr>
    </w:tblStylePr>
    <w:tblStylePr w:type="lastCol">
      <w:rPr>
        <w:b/>
        <w:color w:val="755a00" w:themeColor="accent5" w:themeShade="95"/>
      </w:rPr>
    </w:tblStylePr>
    <w:tblStylePr w:type="lastRow">
      <w:rPr>
        <w:b/>
        <w:color w:val="755a00" w:themeColor="accent5" w:themeShade="95"/>
      </w:rPr>
    </w:tblStylePr>
  </w:style>
  <w:style w:type="table" w:styleId="83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6AFC55" w:themeColor="accent1" w:themeTint="80" w:sz="4" w:space="0"/>
        <w:right w:val="single" w:color="6AFC55" w:themeColor="accent1" w:themeTint="80" w:sz="4" w:space="0"/>
        <w:insideH w:val="single" w:color="6AFC55" w:themeColor="accent1" w:themeTint="80" w:sz="4" w:space="0"/>
        <w:insideV w:val="single" w:color="6AFC55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6afc55" w:themeColor="accent1" w:themeTint="80" w:themeShade="95"/>
        <w:sz w:val="22"/>
      </w:rPr>
      <w:tcPr>
        <w:shd w:val="clear" w:color="c2fdb9" w:themeColor="accent1" w:themeTint="34" w:fill="c2fdb9" w:themeFill="accent1" w:themeFillTint="34"/>
      </w:tcPr>
    </w:tblStylePr>
    <w:tblStylePr w:type="band1Vert"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  <w:tblStylePr w:type="firstCol">
      <w:rPr>
        <w:rFonts w:ascii="Arial" w:hAnsi="Arial"/>
        <w:i/>
        <w:color w:val="6afc55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AFC55" w:themeColor="accent1" w:themeTint="80" w:sz="4" w:space="0"/>
        </w:tcBorders>
      </w:tcPr>
    </w:tblStylePr>
    <w:tblStylePr w:type="firstRow">
      <w:rPr>
        <w:rFonts w:ascii="Arial" w:hAnsi="Arial"/>
        <w:b/>
        <w:color w:val="6afc5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AFC55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AFC55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AFC55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36B3FB" w:themeColor="accent2" w:themeTint="97" w:sz="4" w:space="0"/>
        <w:right w:val="single" w:color="36B3FB" w:themeColor="accent2" w:themeTint="97" w:sz="4" w:space="0"/>
        <w:insideH w:val="single" w:color="36B3FB" w:themeColor="accent2" w:themeTint="97" w:sz="4" w:space="0"/>
        <w:insideV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bce6fd" w:themeColor="accent2" w:themeTint="32" w:fill="bce6fd" w:themeFill="accent2" w:themeFillTint="32"/>
      </w:tcPr>
    </w:tblStylePr>
    <w:tblStylePr w:type="band1Vert"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rFonts w:ascii="Arial" w:hAnsi="Arial"/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36B3FB" w:themeColor="accent2" w:themeTint="97" w:sz="4" w:space="0"/>
        </w:tcBorders>
      </w:tcPr>
    </w:tblStylePr>
    <w:tblStylePr w:type="firstRow">
      <w:rPr>
        <w:rFonts w:ascii="Arial" w:hAnsi="Arial"/>
        <w:b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36B3FB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36B3FB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36B3FB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A43E03" w:themeColor="accent3" w:themeTint="FE" w:sz="4" w:space="0"/>
        <w:right w:val="single" w:color="A43E03" w:themeColor="accent3" w:themeTint="FE" w:sz="4" w:space="0"/>
        <w:insideH w:val="single" w:color="A43E03" w:themeColor="accent3" w:themeTint="FE" w:sz="4" w:space="0"/>
        <w:insideV w:val="single" w:color="A43E03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43e03" w:themeColor="accent3" w:themeTint="FE" w:themeShade="95"/>
        <w:sz w:val="22"/>
      </w:rPr>
      <w:tcPr>
        <w:shd w:val="clear" w:color="fdd2b9" w:themeColor="accent3" w:themeTint="34" w:fill="fdd2b9" w:themeFill="accent3" w:themeFillTint="34"/>
      </w:tcPr>
    </w:tblStylePr>
    <w:tblStylePr w:type="band1Vert"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  <w:tblStylePr w:type="firstCol">
      <w:rPr>
        <w:rFonts w:ascii="Arial" w:hAnsi="Arial"/>
        <w:i/>
        <w:color w:val="a43e03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43E03" w:themeColor="accent3" w:themeTint="FE" w:sz="4" w:space="0"/>
        </w:tcBorders>
      </w:tcPr>
    </w:tblStylePr>
    <w:tblStylePr w:type="firstRow">
      <w:rPr>
        <w:rFonts w:ascii="Arial" w:hAnsi="Arial"/>
        <w:b/>
        <w:color w:val="a43e03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43E03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43E03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43E03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E032FB" w:themeColor="accent4" w:themeTint="9A" w:sz="4" w:space="0"/>
        <w:right w:val="single" w:color="E032FB" w:themeColor="accent4" w:themeTint="9A" w:sz="4" w:space="0"/>
        <w:insideH w:val="single" w:color="E032FB" w:themeColor="accent4" w:themeTint="9A" w:sz="4" w:space="0"/>
        <w:insideV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4b9fd" w:themeColor="accent4" w:themeTint="34" w:fill="f4b9fd" w:themeFill="accent4" w:themeFillTint="34"/>
      </w:tcPr>
    </w:tblStylePr>
    <w:tblStylePr w:type="band1Vert"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rFonts w:ascii="Arial" w:hAnsi="Arial"/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032FB" w:themeColor="accent4" w:themeTint="9A" w:sz="4" w:space="0"/>
        </w:tcBorders>
      </w:tcPr>
    </w:tblStylePr>
    <w:tblStylePr w:type="firstRow">
      <w:rPr>
        <w:rFonts w:ascii="Arial" w:hAnsi="Arial"/>
        <w:b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032FB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E032FB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E032FB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  <w:insideV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5a00" w:themeColor="accent5" w:themeShade="95"/>
        <w:sz w:val="22"/>
      </w:rPr>
      <w:tcPr>
        <w:shd w:val="clear" w:color="fff0bf" w:themeColor="accent5" w:themeTint="34" w:fill="fff0bf" w:themeFill="accent5" w:themeFillTint="34"/>
      </w:tcPr>
    </w:tblStylePr>
    <w:tblStylePr w:type="band1Vert"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  <w:tblStylePr w:type="firstCol">
      <w:rPr>
        <w:rFonts w:ascii="Arial" w:hAnsi="Arial"/>
        <w:i/>
        <w:color w:val="755a00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750" w:themeColor="accent5" w:themeTint="90" w:sz="4" w:space="0"/>
        </w:tcBorders>
      </w:tcPr>
    </w:tblStylePr>
    <w:tblStylePr w:type="firstRow">
      <w:rPr>
        <w:rFonts w:ascii="Arial" w:hAnsi="Arial"/>
        <w:b/>
        <w:color w:val="755a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750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FFD750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cPr>
        <w:shd w:val="clear" w:color="ffffff" w:themeColor="light1" w:fill="ffffff" w:themeFill="light1"/>
        <w:tcBorders>
          <w:top w:val="single" w:color="FFD750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  <w:insideV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51311" w:themeColor="accent6" w:themeShade="95"/>
        <w:sz w:val="22"/>
      </w:rPr>
      <w:tcPr>
        <w:shd w:val="clear" w:color="f7cdcd" w:themeColor="accent6" w:themeTint="34" w:fill="f7cdcd" w:themeFill="accent6" w:themeFillTint="34"/>
      </w:tcPr>
    </w:tblStylePr>
    <w:tblStylePr w:type="band1Vert"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  <w:tblStylePr w:type="firstCol">
      <w:rPr>
        <w:rFonts w:ascii="Arial" w:hAnsi="Arial"/>
        <w:i/>
        <w:color w:val="751311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A7775" w:themeColor="accent6" w:themeTint="90" w:sz="4" w:space="0"/>
        </w:tcBorders>
      </w:tcPr>
    </w:tblStylePr>
    <w:tblStylePr w:type="firstRow">
      <w:rPr>
        <w:rFonts w:ascii="Arial" w:hAnsi="Arial"/>
        <w:b/>
        <w:color w:val="7513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A7775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EA7775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cPr>
        <w:shd w:val="clear" w:color="ffffff" w:themeColor="light1" w:fill="ffffff" w:themeFill="light1"/>
        <w:tcBorders>
          <w:top w:val="single" w:color="EA7775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8A303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8A303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369A3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369A3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33E03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33E03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E03A3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E03A3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99C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9C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9211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9211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bottom w:val="single" w:color="58FB40" w:themeColor="accent1" w:themeTint="90" w:sz="4" w:space="0"/>
        <w:insideH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8FB40" w:themeColor="accent1" w:themeTint="90" w:sz="4" w:space="0"/>
          <w:left w:val="none" w:color="000000" w:sz="4" w:space="0"/>
          <w:bottom w:val="single" w:color="58FB4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8FB40" w:themeColor="accent1" w:themeTint="90" w:sz="4" w:space="0"/>
          <w:left w:val="none" w:color="000000" w:sz="4" w:space="0"/>
          <w:bottom w:val="single" w:color="58FB40" w:themeColor="accent1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bottom w:val="single" w:color="40B7FB" w:themeColor="accent2" w:themeTint="90" w:sz="4" w:space="0"/>
        <w:insideH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40B7FB" w:themeColor="accent2" w:themeTint="90" w:sz="4" w:space="0"/>
          <w:left w:val="none" w:color="000000" w:sz="4" w:space="0"/>
          <w:bottom w:val="single" w:color="40B7F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40B7FB" w:themeColor="accent2" w:themeTint="90" w:sz="4" w:space="0"/>
          <w:left w:val="none" w:color="000000" w:sz="4" w:space="0"/>
          <w:bottom w:val="single" w:color="40B7FB" w:themeColor="accent2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bottom w:val="single" w:color="FB8540" w:themeColor="accent3" w:themeTint="90" w:sz="4" w:space="0"/>
        <w:insideH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B8540" w:themeColor="accent3" w:themeTint="90" w:sz="4" w:space="0"/>
          <w:left w:val="none" w:color="000000" w:sz="4" w:space="0"/>
          <w:bottom w:val="single" w:color="FB854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B8540" w:themeColor="accent3" w:themeTint="90" w:sz="4" w:space="0"/>
          <w:left w:val="none" w:color="000000" w:sz="4" w:space="0"/>
          <w:bottom w:val="single" w:color="FB8540" w:themeColor="accent3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bottom w:val="single" w:color="E240FB" w:themeColor="accent4" w:themeTint="90" w:sz="4" w:space="0"/>
        <w:insideH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E240FB" w:themeColor="accent4" w:themeTint="90" w:sz="4" w:space="0"/>
          <w:left w:val="none" w:color="000000" w:sz="4" w:space="0"/>
          <w:bottom w:val="single" w:color="E240FB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240FB" w:themeColor="accent4" w:themeTint="90" w:sz="4" w:space="0"/>
          <w:left w:val="none" w:color="000000" w:sz="4" w:space="0"/>
          <w:bottom w:val="single" w:color="E240FB" w:themeColor="accent4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bottom w:val="single" w:color="FFD750" w:themeColor="accent5" w:themeTint="90" w:sz="4" w:space="0"/>
        <w:insideH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750" w:themeColor="accent5" w:themeTint="9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750" w:themeColor="accent5" w:themeTint="90" w:sz="4" w:space="0"/>
          <w:left w:val="none" w:color="000000" w:sz="4" w:space="0"/>
          <w:bottom w:val="single" w:color="FFD750" w:themeColor="accent5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bottom w:val="single" w:color="EA7775" w:themeColor="accent6" w:themeTint="90" w:sz="4" w:space="0"/>
        <w:insideH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EA7775" w:themeColor="accent6" w:themeTint="9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EA7775" w:themeColor="accent6" w:themeTint="90" w:sz="4" w:space="0"/>
          <w:left w:val="none" w:color="000000" w:sz="4" w:space="0"/>
          <w:bottom w:val="single" w:color="EA7775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18A303" w:themeColor="accent1" w:sz="4" w:space="0"/>
          <w:bottom w:val="single" w:color="18A303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8A303" w:themeColor="accent1" w:sz="4" w:space="0"/>
          <w:right w:val="single" w:color="18A303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left w:val="single" w:color="36B3FB" w:themeColor="accent2" w:themeTint="97" w:sz="4" w:space="0"/>
        <w:bottom w:val="single" w:color="36B3FB" w:themeColor="accent2" w:themeTint="97" w:sz="4" w:space="0"/>
        <w:right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36B3FB" w:themeColor="accent2" w:themeTint="97" w:sz="4" w:space="0"/>
          <w:bottom w:val="single" w:color="36B3FB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36B3FB" w:themeColor="accent2" w:themeTint="97" w:sz="4" w:space="0"/>
          <w:right w:val="single" w:color="36B3FB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4" w:space="0"/>
        <w:left w:val="single" w:color="FB7E35" w:themeColor="accent3" w:themeTint="98" w:sz="4" w:space="0"/>
        <w:bottom w:val="single" w:color="FB7E35" w:themeColor="accent3" w:themeTint="98" w:sz="4" w:space="0"/>
        <w:right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7E35" w:themeColor="accent3" w:themeTint="98" w:sz="4" w:space="0"/>
          <w:bottom w:val="single" w:color="FB7E35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B7E35" w:themeColor="accent3" w:themeTint="98" w:sz="4" w:space="0"/>
          <w:right w:val="single" w:color="FB7E35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b7e35" w:themeColor="accent3" w:themeTint="98" w:fill="fb7e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left w:val="single" w:color="E032FB" w:themeColor="accent4" w:themeTint="9A" w:sz="4" w:space="0"/>
        <w:bottom w:val="single" w:color="E032FB" w:themeColor="accent4" w:themeTint="9A" w:sz="4" w:space="0"/>
        <w:right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032FB" w:themeColor="accent4" w:themeTint="9A" w:sz="4" w:space="0"/>
          <w:bottom w:val="single" w:color="E032FB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032FB" w:themeColor="accent4" w:themeTint="9A" w:sz="4" w:space="0"/>
          <w:right w:val="single" w:color="E032FB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4" w:space="0"/>
        <w:left w:val="single" w:color="FFD444" w:themeColor="accent5" w:themeTint="9A" w:sz="4" w:space="0"/>
        <w:bottom w:val="single" w:color="FFD444" w:themeColor="accent5" w:themeTint="9A" w:sz="4" w:space="0"/>
        <w:right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444" w:themeColor="accent5" w:themeTint="9A" w:sz="4" w:space="0"/>
          <w:bottom w:val="single" w:color="FFD444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444" w:themeColor="accent5" w:themeTint="9A" w:sz="4" w:space="0"/>
          <w:right w:val="single" w:color="FFD444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444" w:themeColor="accent5" w:themeTint="9A" w:fill="ffd444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4" w:space="0"/>
        <w:left w:val="single" w:color="E9706E" w:themeColor="accent6" w:themeTint="98" w:sz="4" w:space="0"/>
        <w:bottom w:val="single" w:color="E9706E" w:themeColor="accent6" w:themeTint="98" w:sz="4" w:space="0"/>
        <w:right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9706E" w:themeColor="accent6" w:themeTint="98" w:sz="4" w:space="0"/>
          <w:bottom w:val="single" w:color="E9706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9706E" w:themeColor="accent6" w:themeTint="98" w:sz="4" w:space="0"/>
          <w:right w:val="single" w:color="E9706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06e" w:themeColor="accent6" w:themeTint="98" w:fill="e970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58FB40" w:themeColor="accent1" w:themeTint="90" w:sz="4" w:space="0"/>
        <w:left w:val="single" w:color="58FB40" w:themeColor="accent1" w:themeTint="90" w:sz="4" w:space="0"/>
        <w:bottom w:val="single" w:color="58FB40" w:themeColor="accent1" w:themeTint="90" w:sz="4" w:space="0"/>
        <w:right w:val="single" w:color="58FB40" w:themeColor="accent1" w:themeTint="90" w:sz="4" w:space="0"/>
        <w:insideH w:val="single" w:color="58FB40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4fda9" w:themeColor="accent1" w:themeTint="40" w:fill="b4fda9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8a303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40B7FB" w:themeColor="accent2" w:themeTint="90" w:sz="4" w:space="0"/>
        <w:left w:val="single" w:color="40B7FB" w:themeColor="accent2" w:themeTint="90" w:sz="4" w:space="0"/>
        <w:bottom w:val="single" w:color="40B7FB" w:themeColor="accent2" w:themeTint="90" w:sz="4" w:space="0"/>
        <w:right w:val="single" w:color="40B7FB" w:themeColor="accent2" w:themeTint="90" w:sz="4" w:space="0"/>
        <w:insideH w:val="single" w:color="40B7FB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9defd" w:themeColor="accent2" w:themeTint="40" w:fill="a9de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369a3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FB8540" w:themeColor="accent3" w:themeTint="90" w:sz="4" w:space="0"/>
        <w:left w:val="single" w:color="FB8540" w:themeColor="accent3" w:themeTint="90" w:sz="4" w:space="0"/>
        <w:bottom w:val="single" w:color="FB8540" w:themeColor="accent3" w:themeTint="90" w:sz="4" w:space="0"/>
        <w:right w:val="single" w:color="FB8540" w:themeColor="accent3" w:themeTint="90" w:sz="4" w:space="0"/>
        <w:insideH w:val="single" w:color="FB8540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c8a9" w:themeColor="accent3" w:themeTint="40" w:fill="fdc8a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33e03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E240FB" w:themeColor="accent4" w:themeTint="90" w:sz="4" w:space="0"/>
        <w:left w:val="single" w:color="E240FB" w:themeColor="accent4" w:themeTint="90" w:sz="4" w:space="0"/>
        <w:bottom w:val="single" w:color="E240FB" w:themeColor="accent4" w:themeTint="90" w:sz="4" w:space="0"/>
        <w:right w:val="single" w:color="E240FB" w:themeColor="accent4" w:themeTint="90" w:sz="4" w:space="0"/>
        <w:insideH w:val="single" w:color="E240FB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2a9fd" w:themeColor="accent4" w:themeTint="40" w:fill="f2a9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03a3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FFD750" w:themeColor="accent5" w:themeTint="90" w:sz="4" w:space="0"/>
        <w:left w:val="single" w:color="FFD750" w:themeColor="accent5" w:themeTint="90" w:sz="4" w:space="0"/>
        <w:bottom w:val="single" w:color="FFD750" w:themeColor="accent5" w:themeTint="90" w:sz="4" w:space="0"/>
        <w:right w:val="single" w:color="FFD750" w:themeColor="accent5" w:themeTint="90" w:sz="4" w:space="0"/>
        <w:insideH w:val="single" w:color="FFD750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db1" w:themeColor="accent5" w:themeTint="40" w:fill="ffed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9c00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EA7775" w:themeColor="accent6" w:themeTint="90" w:sz="4" w:space="0"/>
        <w:left w:val="single" w:color="EA7775" w:themeColor="accent6" w:themeTint="90" w:sz="4" w:space="0"/>
        <w:bottom w:val="single" w:color="EA7775" w:themeColor="accent6" w:themeTint="90" w:sz="4" w:space="0"/>
        <w:right w:val="single" w:color="EA7775" w:themeColor="accent6" w:themeTint="90" w:sz="4" w:space="0"/>
        <w:insideH w:val="single" w:color="EA7775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6c2c1" w:themeColor="accent6" w:themeTint="40" w:fill="f6c2c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211e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18A303" w:themeColor="accent1" w:sz="32" w:space="0"/>
        <w:left w:val="single" w:color="18A303" w:themeColor="accent1" w:sz="32" w:space="0"/>
        <w:bottom w:val="single" w:color="18A303" w:themeColor="accent1" w:sz="32" w:space="0"/>
        <w:right w:val="single" w:color="18A303" w:themeColor="accent1" w:sz="32" w:space="0"/>
      </w:tblBorders>
      <w:shd w:val="clear" w:color="18a303" w:themeColor="accent1" w:fill="18a303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18a303" w:themeColor="accent1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8a303" w:themeColor="accent1" w:fill="18a303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8a303" w:themeColor="accent1" w:fill="18a303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8A303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8a303" w:themeColor="accent1" w:fill="18a303" w:themeFill="accent1"/>
        <w:tcBorders>
          <w:top w:val="single" w:color="18A303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8A303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32" w:space="0"/>
        <w:left w:val="single" w:color="36B3FB" w:themeColor="accent2" w:themeTint="97" w:sz="32" w:space="0"/>
        <w:bottom w:val="single" w:color="36B3FB" w:themeColor="accent2" w:themeTint="97" w:sz="32" w:space="0"/>
        <w:right w:val="single" w:color="36B3FB" w:themeColor="accent2" w:themeTint="97" w:sz="32" w:space="0"/>
      </w:tblBorders>
      <w:shd w:val="clear" w:color="36b3fb" w:themeColor="accent2" w:themeTint="97" w:fill="36b3fb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36b3fb" w:themeColor="accent2" w:themeTint="97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36b3fb" w:themeColor="accent2" w:themeTint="97" w:fill="36b3fb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36b3fb" w:themeColor="accent2" w:themeTint="97" w:fill="36b3fb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36B3FB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36b3fb" w:themeColor="accent2" w:themeTint="97" w:fill="36b3fb" w:themeFill="accent2" w:themeFillTint="97"/>
        <w:tcBorders>
          <w:top w:val="single" w:color="36B3FB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36B3FB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32" w:space="0"/>
        <w:left w:val="single" w:color="FB7E35" w:themeColor="accent3" w:themeTint="98" w:sz="32" w:space="0"/>
        <w:bottom w:val="single" w:color="FB7E35" w:themeColor="accent3" w:themeTint="98" w:sz="32" w:space="0"/>
        <w:right w:val="single" w:color="FB7E35" w:themeColor="accent3" w:themeTint="98" w:sz="32" w:space="0"/>
      </w:tblBorders>
      <w:shd w:val="clear" w:color="fb7e35" w:themeColor="accent3" w:themeTint="98" w:fill="fb7e35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7e35" w:themeColor="accent3" w:themeTint="98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b7e35" w:themeColor="accent3" w:themeTint="98" w:fill="fb7e35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b7e35" w:themeColor="accent3" w:themeTint="98" w:fill="fb7e35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B7E35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b7e35" w:themeColor="accent3" w:themeTint="98" w:fill="fb7e35" w:themeFill="accent3" w:themeFillTint="98"/>
        <w:tcBorders>
          <w:top w:val="single" w:color="FB7E35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B7E35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32" w:space="0"/>
        <w:left w:val="single" w:color="E032FB" w:themeColor="accent4" w:themeTint="9A" w:sz="32" w:space="0"/>
        <w:bottom w:val="single" w:color="E032FB" w:themeColor="accent4" w:themeTint="9A" w:sz="32" w:space="0"/>
        <w:right w:val="single" w:color="E032FB" w:themeColor="accent4" w:themeTint="9A" w:sz="32" w:space="0"/>
      </w:tblBorders>
      <w:shd w:val="clear" w:color="e032fb" w:themeColor="accent4" w:themeTint="9A" w:fill="e032fb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032fb" w:themeColor="accent4" w:themeTint="9A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032fb" w:themeColor="accent4" w:themeTint="9A" w:fill="e032fb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032fb" w:themeColor="accent4" w:themeTint="9A" w:fill="e032fb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E032FB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e032fb" w:themeColor="accent4" w:themeTint="9A" w:fill="e032fb" w:themeFill="accent4" w:themeFillTint="9A"/>
        <w:tcBorders>
          <w:top w:val="single" w:color="E032FB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032FB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32" w:space="0"/>
        <w:left w:val="single" w:color="FFD444" w:themeColor="accent5" w:themeTint="9A" w:sz="32" w:space="0"/>
        <w:bottom w:val="single" w:color="FFD444" w:themeColor="accent5" w:themeTint="9A" w:sz="32" w:space="0"/>
        <w:right w:val="single" w:color="FFD444" w:themeColor="accent5" w:themeTint="9A" w:sz="32" w:space="0"/>
      </w:tblBorders>
      <w:shd w:val="clear" w:color="ffd444" w:themeColor="accent5" w:themeTint="9A" w:fill="ffd444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d444" w:themeColor="accent5" w:themeTint="9A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444" w:themeColor="accent5" w:themeTint="9A" w:fill="ffd444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444" w:themeColor="accent5" w:themeTint="9A" w:fill="ffd444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444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444" w:themeColor="accent5" w:themeTint="9A" w:fill="ffd444" w:themeFill="accent5" w:themeFillTint="9A"/>
        <w:tcBorders>
          <w:top w:val="single" w:color="FFD444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444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32" w:space="0"/>
        <w:left w:val="single" w:color="E9706E" w:themeColor="accent6" w:themeTint="98" w:sz="32" w:space="0"/>
        <w:bottom w:val="single" w:color="E9706E" w:themeColor="accent6" w:themeTint="98" w:sz="32" w:space="0"/>
        <w:right w:val="single" w:color="E9706E" w:themeColor="accent6" w:themeTint="98" w:sz="32" w:space="0"/>
      </w:tblBorders>
      <w:shd w:val="clear" w:color="e9706e" w:themeColor="accent6" w:themeTint="98" w:fill="e9706e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9706e" w:themeColor="accent6" w:themeTint="98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e9706e" w:themeColor="accent6" w:themeTint="98" w:fill="e9706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e9706e" w:themeColor="accent6" w:themeTint="98" w:fill="e9706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E9706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e9706e" w:themeColor="accent6" w:themeTint="98" w:fill="e9706e" w:themeFill="accent6" w:themeFillTint="98"/>
        <w:tcBorders>
          <w:top w:val="single" w:color="E9706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9706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18A303" w:themeColor="accent1" w:sz="4" w:space="0"/>
        <w:bottom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d5e01" w:themeColor="accent1" w:themeShade="95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  <w:tblStylePr w:type="firstCol">
      <w:rPr>
        <w:b/>
        <w:color w:val="0d5e01" w:themeColor="accent1" w:themeShade="95"/>
      </w:rPr>
    </w:tblStylePr>
    <w:tblStylePr w:type="firstRow">
      <w:rPr>
        <w:b/>
        <w:color w:val="0d5e01" w:themeColor="accent1" w:themeShade="95"/>
      </w:rPr>
      <w:tcPr>
        <w:tcBorders>
          <w:bottom w:val="single" w:color="18A303" w:themeColor="accent1" w:sz="4" w:space="0"/>
        </w:tcBorders>
      </w:tcPr>
    </w:tblStylePr>
    <w:tblStylePr w:type="lastCol">
      <w:rPr>
        <w:b/>
        <w:color w:val="0d5e01" w:themeColor="accent1" w:themeShade="95"/>
      </w:rPr>
    </w:tblStylePr>
    <w:tblStylePr w:type="lastRow">
      <w:rPr>
        <w:b/>
        <w:color w:val="0d5e01" w:themeColor="accent1" w:themeShade="95"/>
      </w:rPr>
      <w:tcPr>
        <w:tcBorders>
          <w:top w:val="single" w:color="18A303" w:themeColor="accent1" w:sz="4" w:space="0"/>
        </w:tcBorders>
      </w:tcPr>
    </w:tblStylePr>
  </w:style>
  <w:style w:type="table" w:styleId="88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36B3FB" w:themeColor="accent2" w:themeTint="97" w:sz="4" w:space="0"/>
        <w:bottom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b/>
        <w:color w:val="36b3fb" w:themeColor="accent2" w:themeTint="97" w:themeShade="95"/>
      </w:rPr>
    </w:tblStylePr>
    <w:tblStylePr w:type="firstRow">
      <w:rPr>
        <w:b/>
        <w:color w:val="36b3fb" w:themeColor="accent2" w:themeTint="97" w:themeShade="95"/>
      </w:rPr>
      <w:tcPr>
        <w:tcBorders>
          <w:bottom w:val="single" w:color="36B3FB" w:themeColor="accent2" w:themeTint="97" w:sz="4" w:space="0"/>
        </w:tcBorders>
      </w:tcPr>
    </w:tblStylePr>
    <w:tblStylePr w:type="lastCol">
      <w:rPr>
        <w:b/>
        <w:color w:val="36b3fb" w:themeColor="accent2" w:themeTint="97" w:themeShade="95"/>
      </w:rPr>
    </w:tblStylePr>
    <w:tblStylePr w:type="lastRow">
      <w:rPr>
        <w:b/>
        <w:color w:val="36b3fb" w:themeColor="accent2" w:themeTint="97" w:themeShade="95"/>
      </w:rPr>
      <w:tcPr>
        <w:tcBorders>
          <w:top w:val="single" w:color="36B3FB" w:themeColor="accent2" w:themeTint="97" w:sz="4" w:space="0"/>
        </w:tcBorders>
      </w:tcPr>
    </w:tblStylePr>
  </w:style>
  <w:style w:type="table" w:styleId="88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FB7E35" w:themeColor="accent3" w:themeTint="98" w:sz="4" w:space="0"/>
        <w:bottom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b7e35" w:themeColor="accent3" w:themeTint="98" w:themeShade="95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  <w:tblStylePr w:type="firstCol">
      <w:rPr>
        <w:b/>
        <w:color w:val="fb7e35" w:themeColor="accent3" w:themeTint="98" w:themeShade="95"/>
      </w:rPr>
    </w:tblStylePr>
    <w:tblStylePr w:type="firstRow">
      <w:rPr>
        <w:b/>
        <w:color w:val="fb7e35" w:themeColor="accent3" w:themeTint="98" w:themeShade="95"/>
      </w:rPr>
      <w:tcPr>
        <w:tcBorders>
          <w:bottom w:val="single" w:color="FB7E35" w:themeColor="accent3" w:themeTint="98" w:sz="4" w:space="0"/>
        </w:tcBorders>
      </w:tcPr>
    </w:tblStylePr>
    <w:tblStylePr w:type="lastCol">
      <w:rPr>
        <w:b/>
        <w:color w:val="fb7e35" w:themeColor="accent3" w:themeTint="98" w:themeShade="95"/>
      </w:rPr>
    </w:tblStylePr>
    <w:tblStylePr w:type="lastRow">
      <w:rPr>
        <w:b/>
        <w:color w:val="fb7e35" w:themeColor="accent3" w:themeTint="98" w:themeShade="95"/>
      </w:rPr>
      <w:tcPr>
        <w:tcBorders>
          <w:top w:val="single" w:color="FB7E35" w:themeColor="accent3" w:themeTint="98" w:sz="4" w:space="0"/>
        </w:tcBorders>
      </w:tcPr>
    </w:tblStylePr>
  </w:style>
  <w:style w:type="table" w:styleId="88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E032FB" w:themeColor="accent4" w:themeTint="9A" w:sz="4" w:space="0"/>
        <w:bottom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b/>
        <w:color w:val="e032fb" w:themeColor="accent4" w:themeTint="9A" w:themeShade="95"/>
      </w:rPr>
    </w:tblStylePr>
    <w:tblStylePr w:type="firstRow">
      <w:rPr>
        <w:b/>
        <w:color w:val="e032fb" w:themeColor="accent4" w:themeTint="9A" w:themeShade="95"/>
      </w:rPr>
      <w:tcPr>
        <w:tcBorders>
          <w:bottom w:val="single" w:color="E032FB" w:themeColor="accent4" w:themeTint="9A" w:sz="4" w:space="0"/>
        </w:tcBorders>
      </w:tcPr>
    </w:tblStylePr>
    <w:tblStylePr w:type="lastCol">
      <w:rPr>
        <w:b/>
        <w:color w:val="e032fb" w:themeColor="accent4" w:themeTint="9A" w:themeShade="95"/>
      </w:rPr>
    </w:tblStylePr>
    <w:tblStylePr w:type="lastRow">
      <w:rPr>
        <w:b/>
        <w:color w:val="e032fb" w:themeColor="accent4" w:themeTint="9A" w:themeShade="95"/>
      </w:rPr>
      <w:tcPr>
        <w:tcBorders>
          <w:top w:val="single" w:color="E032FB" w:themeColor="accent4" w:themeTint="9A" w:sz="4" w:space="0"/>
        </w:tcBorders>
      </w:tcPr>
    </w:tblStylePr>
  </w:style>
  <w:style w:type="table" w:styleId="88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FFD444" w:themeColor="accent5" w:themeTint="9A" w:sz="4" w:space="0"/>
        <w:bottom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444" w:themeColor="accent5" w:themeTint="9A" w:themeShade="95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  <w:tblStylePr w:type="firstCol">
      <w:rPr>
        <w:b/>
        <w:color w:val="ffd444" w:themeColor="accent5" w:themeTint="9A" w:themeShade="95"/>
      </w:rPr>
    </w:tblStylePr>
    <w:tblStylePr w:type="firstRow">
      <w:rPr>
        <w:b/>
        <w:color w:val="ffd444" w:themeColor="accent5" w:themeTint="9A" w:themeShade="95"/>
      </w:rPr>
      <w:tcPr>
        <w:tcBorders>
          <w:bottom w:val="single" w:color="FFD444" w:themeColor="accent5" w:themeTint="9A" w:sz="4" w:space="0"/>
        </w:tcBorders>
      </w:tcPr>
    </w:tblStylePr>
    <w:tblStylePr w:type="lastCol">
      <w:rPr>
        <w:b/>
        <w:color w:val="ffd444" w:themeColor="accent5" w:themeTint="9A" w:themeShade="95"/>
      </w:rPr>
    </w:tblStylePr>
    <w:tblStylePr w:type="lastRow">
      <w:rPr>
        <w:b/>
        <w:color w:val="ffd444" w:themeColor="accent5" w:themeTint="9A" w:themeShade="95"/>
      </w:rPr>
      <w:tcPr>
        <w:tcBorders>
          <w:top w:val="single" w:color="FFD444" w:themeColor="accent5" w:themeTint="9A" w:sz="4" w:space="0"/>
        </w:tcBorders>
      </w:tcPr>
    </w:tblStylePr>
  </w:style>
  <w:style w:type="table" w:styleId="88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E9706E" w:themeColor="accent6" w:themeTint="98" w:sz="4" w:space="0"/>
        <w:bottom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9706e" w:themeColor="accent6" w:themeTint="98" w:themeShade="95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  <w:tblStylePr w:type="firstCol">
      <w:rPr>
        <w:b/>
        <w:color w:val="e9706e" w:themeColor="accent6" w:themeTint="98" w:themeShade="95"/>
      </w:rPr>
    </w:tblStylePr>
    <w:tblStylePr w:type="firstRow">
      <w:rPr>
        <w:b/>
        <w:color w:val="e9706e" w:themeColor="accent6" w:themeTint="98" w:themeShade="95"/>
      </w:rPr>
      <w:tcPr>
        <w:tcBorders>
          <w:bottom w:val="single" w:color="E9706E" w:themeColor="accent6" w:themeTint="98" w:sz="4" w:space="0"/>
        </w:tcBorders>
      </w:tcPr>
    </w:tblStylePr>
    <w:tblStylePr w:type="lastCol">
      <w:rPr>
        <w:b/>
        <w:color w:val="e9706e" w:themeColor="accent6" w:themeTint="98" w:themeShade="95"/>
      </w:rPr>
    </w:tblStylePr>
    <w:tblStylePr w:type="lastRow">
      <w:rPr>
        <w:b/>
        <w:color w:val="e9706e" w:themeColor="accent6" w:themeTint="98" w:themeShade="95"/>
      </w:rPr>
      <w:tcPr>
        <w:tcBorders>
          <w:top w:val="single" w:color="E9706E" w:themeColor="accent6" w:themeTint="98" w:sz="4" w:space="0"/>
        </w:tcBorders>
      </w:tcPr>
    </w:tblStylePr>
  </w:style>
  <w:style w:type="table" w:styleId="88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18A303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d5e01" w:themeColor="accent1" w:themeShade="95"/>
        <w:sz w:val="22"/>
      </w:rPr>
      <w:tcPr>
        <w:shd w:val="clear" w:color="b4fda9" w:themeColor="accent1" w:themeTint="40" w:fill="b4fda9" w:themeFill="accent1" w:themeFillTint="40"/>
      </w:tcPr>
    </w:tblStylePr>
    <w:tblStylePr w:type="band1Vert"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  <w:tblStylePr w:type="firstCol">
      <w:rPr>
        <w:rFonts w:ascii="Arial" w:hAnsi="Arial"/>
        <w:i/>
        <w:color w:val="0d5e0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8A303" w:themeColor="accent1" w:sz="4" w:space="0"/>
        </w:tcBorders>
      </w:tcPr>
    </w:tblStylePr>
    <w:tblStylePr w:type="firstRow">
      <w:rPr>
        <w:rFonts w:ascii="Arial" w:hAnsi="Arial"/>
        <w:i/>
        <w:color w:val="0d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8A303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8A303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cPr>
        <w:shd w:val="clear" w:color="ffffff" w:themeColor="light1" w:fill="ffffff" w:themeFill="light1"/>
        <w:tcBorders>
          <w:top w:val="single" w:color="18A303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36B3FB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36b3fb" w:themeColor="accent2" w:themeTint="97" w:themeShade="95"/>
        <w:sz w:val="22"/>
      </w:rPr>
      <w:tcPr>
        <w:shd w:val="clear" w:color="a9defd" w:themeColor="accent2" w:themeTint="40" w:fill="a9defd" w:themeFill="accent2" w:themeFillTint="40"/>
      </w:tcPr>
    </w:tblStylePr>
    <w:tblStylePr w:type="band1Vert"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  <w:tblStylePr w:type="firstCol">
      <w:rPr>
        <w:rFonts w:ascii="Arial" w:hAnsi="Arial"/>
        <w:i/>
        <w:color w:val="36b3fb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36B3FB" w:themeColor="accent2" w:themeTint="97" w:sz="4" w:space="0"/>
        </w:tcBorders>
      </w:tcPr>
    </w:tblStylePr>
    <w:tblStylePr w:type="firstRow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36B3FB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36B3FB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36B3FB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FB7E35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b7e35" w:themeColor="accent3" w:themeTint="98" w:themeShade="95"/>
        <w:sz w:val="22"/>
      </w:rPr>
      <w:tcPr>
        <w:shd w:val="clear" w:color="fdc8a9" w:themeColor="accent3" w:themeTint="40" w:fill="fdc8a9" w:themeFill="accent3" w:themeFillTint="40"/>
      </w:tcPr>
    </w:tblStylePr>
    <w:tblStylePr w:type="band1Vert"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  <w:tblStylePr w:type="firstCol">
      <w:rPr>
        <w:rFonts w:ascii="Arial" w:hAnsi="Arial"/>
        <w:i/>
        <w:color w:val="fb7e3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B7E35" w:themeColor="accent3" w:themeTint="98" w:sz="4" w:space="0"/>
        </w:tcBorders>
      </w:tcPr>
    </w:tblStylePr>
    <w:tblStylePr w:type="firstRow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B7E35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B7E35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FB7E35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E032FB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032fb" w:themeColor="accent4" w:themeTint="9A" w:themeShade="95"/>
        <w:sz w:val="22"/>
      </w:rPr>
      <w:tcPr>
        <w:shd w:val="clear" w:color="f2a9fd" w:themeColor="accent4" w:themeTint="40" w:fill="f2a9fd" w:themeFill="accent4" w:themeFillTint="40"/>
      </w:tcPr>
    </w:tblStylePr>
    <w:tblStylePr w:type="band1Vert"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  <w:tblStylePr w:type="firstCol">
      <w:rPr>
        <w:rFonts w:ascii="Arial" w:hAnsi="Arial"/>
        <w:i/>
        <w:color w:val="e032fb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032FB" w:themeColor="accent4" w:themeTint="9A" w:sz="4" w:space="0"/>
        </w:tcBorders>
      </w:tcPr>
    </w:tblStylePr>
    <w:tblStylePr w:type="firstRow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032FB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E032FB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E032FB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FFD444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fd444" w:themeColor="accent5" w:themeTint="9A" w:themeShade="95"/>
        <w:sz w:val="22"/>
      </w:rPr>
      <w:tcPr>
        <w:shd w:val="clear" w:color="ffedb1" w:themeColor="accent5" w:themeTint="40" w:fill="ffedb1" w:themeFill="accent5" w:themeFillTint="40"/>
      </w:tcPr>
    </w:tblStylePr>
    <w:tblStylePr w:type="band1Vert"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  <w:tblStylePr w:type="firstCol">
      <w:rPr>
        <w:rFonts w:ascii="Arial" w:hAnsi="Arial"/>
        <w:i/>
        <w:color w:val="ffd444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444" w:themeColor="accent5" w:themeTint="9A" w:sz="4" w:space="0"/>
        </w:tcBorders>
      </w:tcPr>
    </w:tblStylePr>
    <w:tblStylePr w:type="firstRow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444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444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FFD444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E9706E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e9706e" w:themeColor="accent6" w:themeTint="98" w:themeShade="95"/>
        <w:sz w:val="22"/>
      </w:rPr>
      <w:tcPr>
        <w:shd w:val="clear" w:color="f6c2c1" w:themeColor="accent6" w:themeTint="40" w:fill="f6c2c1" w:themeFill="accent6" w:themeFillTint="40"/>
      </w:tcPr>
    </w:tblStylePr>
    <w:tblStylePr w:type="band1Vert"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  <w:tblStylePr w:type="firstCol">
      <w:rPr>
        <w:rFonts w:ascii="Arial" w:hAnsi="Arial"/>
        <w:i/>
        <w:color w:val="e9706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9706E" w:themeColor="accent6" w:themeTint="98" w:sz="4" w:space="0"/>
        </w:tcBorders>
      </w:tcPr>
    </w:tblStylePr>
    <w:tblStylePr w:type="firstRow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E9706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E9706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E9706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5" w:customStyle="1">
    <w:name w:val="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</w:style>
  <w:style w:type="table" w:styleId="897" w:customStyle="1">
    <w:name w:val="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</w:style>
  <w:style w:type="table" w:styleId="898" w:customStyle="1">
    <w:name w:val="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</w:style>
  <w:style w:type="table" w:styleId="899" w:customStyle="1">
    <w:name w:val="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</w:style>
  <w:style w:type="table" w:styleId="900" w:customStyle="1">
    <w:name w:val="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</w:style>
  <w:style w:type="table" w:styleId="901" w:customStyle="1">
    <w:name w:val="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</w:style>
  <w:style w:type="table" w:styleId="902" w:customStyle="1">
    <w:name w:val="Bordered &amp; Lined - Accent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3" w:customStyle="1">
    <w:name w:val="Bordered &amp; Lined - Accent 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0D5E01" w:themeColor="accent1" w:themeShade="95" w:sz="4" w:space="0"/>
        <w:left w:val="single" w:color="0D5E01" w:themeColor="accent1" w:themeShade="95" w:sz="4" w:space="0"/>
        <w:bottom w:val="single" w:color="0D5E01" w:themeColor="accent1" w:themeShade="95" w:sz="4" w:space="0"/>
        <w:right w:val="single" w:color="0D5E01" w:themeColor="accent1" w:themeShade="95" w:sz="4" w:space="0"/>
        <w:insideH w:val="single" w:color="0D5E01" w:themeColor="accent1" w:themeShade="95" w:sz="4" w:space="0"/>
        <w:insideV w:val="single" w:color="0D5E0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2fd94" w:themeColor="accent1" w:themeTint="50" w:fill="a2fd94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bbe03" w:themeColor="accent1" w:themeTint="EA" w:fill="1bbe03" w:themeFill="accent1" w:themeFillTint="EA"/>
      </w:tcPr>
    </w:tblStylePr>
  </w:style>
  <w:style w:type="table" w:styleId="904" w:customStyle="1">
    <w:name w:val="Bordered &amp; Lined - Accent 2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013C5E" w:themeColor="accent2" w:themeShade="95" w:sz="4" w:space="0"/>
        <w:left w:val="single" w:color="013C5E" w:themeColor="accent2" w:themeShade="95" w:sz="4" w:space="0"/>
        <w:bottom w:val="single" w:color="013C5E" w:themeColor="accent2" w:themeShade="95" w:sz="4" w:space="0"/>
        <w:right w:val="single" w:color="013C5E" w:themeColor="accent2" w:themeShade="95" w:sz="4" w:space="0"/>
        <w:insideH w:val="single" w:color="013C5E" w:themeColor="accent2" w:themeShade="95" w:sz="4" w:space="0"/>
        <w:insideV w:val="single" w:color="013C5E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bce6fd" w:themeColor="accent2" w:themeTint="32" w:fill="bce6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36b3fb" w:themeColor="accent2" w:themeTint="97" w:fill="36b3fb" w:themeFill="accent2" w:themeFillTint="97"/>
      </w:tcPr>
    </w:tblStylePr>
  </w:style>
  <w:style w:type="table" w:styleId="905" w:customStyle="1">
    <w:name w:val="Bordered &amp; Lined - Accent 3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5E2401" w:themeColor="accent3" w:themeShade="95" w:sz="4" w:space="0"/>
        <w:left w:val="single" w:color="5E2401" w:themeColor="accent3" w:themeShade="95" w:sz="4" w:space="0"/>
        <w:bottom w:val="single" w:color="5E2401" w:themeColor="accent3" w:themeShade="95" w:sz="4" w:space="0"/>
        <w:right w:val="single" w:color="5E2401" w:themeColor="accent3" w:themeShade="95" w:sz="4" w:space="0"/>
        <w:insideH w:val="single" w:color="5E2401" w:themeColor="accent3" w:themeShade="95" w:sz="4" w:space="0"/>
        <w:insideV w:val="single" w:color="5E2401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d2b9" w:themeColor="accent3" w:themeTint="34" w:fill="fdd2b9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43e03" w:themeColor="accent3" w:themeTint="FE" w:fill="a43e03" w:themeFill="accent3" w:themeFillTint="FE"/>
      </w:tcPr>
    </w:tblStylePr>
  </w:style>
  <w:style w:type="table" w:styleId="906" w:customStyle="1">
    <w:name w:val="Bordered &amp; Lined - Accent 4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52015E" w:themeColor="accent4" w:themeShade="95" w:sz="4" w:space="0"/>
        <w:left w:val="single" w:color="52015E" w:themeColor="accent4" w:themeShade="95" w:sz="4" w:space="0"/>
        <w:bottom w:val="single" w:color="52015E" w:themeColor="accent4" w:themeShade="95" w:sz="4" w:space="0"/>
        <w:right w:val="single" w:color="52015E" w:themeColor="accent4" w:themeShade="95" w:sz="4" w:space="0"/>
        <w:insideH w:val="single" w:color="52015E" w:themeColor="accent4" w:themeShade="95" w:sz="4" w:space="0"/>
        <w:insideV w:val="single" w:color="52015E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4b9fd" w:themeColor="accent4" w:themeTint="34" w:fill="f4b9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e032fb" w:themeColor="accent4" w:themeTint="9A" w:fill="e032fb" w:themeFill="accent4" w:themeFillTint="9A"/>
      </w:tcPr>
    </w:tblStylePr>
  </w:style>
  <w:style w:type="table" w:styleId="907" w:customStyle="1">
    <w:name w:val="Bordered &amp; Lined - Accent 5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755A00" w:themeColor="accent5" w:themeShade="95" w:sz="4" w:space="0"/>
        <w:left w:val="single" w:color="755A00" w:themeColor="accent5" w:themeShade="95" w:sz="4" w:space="0"/>
        <w:bottom w:val="single" w:color="755A00" w:themeColor="accent5" w:themeShade="95" w:sz="4" w:space="0"/>
        <w:right w:val="single" w:color="755A00" w:themeColor="accent5" w:themeShade="95" w:sz="4" w:space="0"/>
        <w:insideH w:val="single" w:color="755A00" w:themeColor="accent5" w:themeShade="95" w:sz="4" w:space="0"/>
        <w:insideV w:val="single" w:color="755A00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0bf" w:themeColor="accent5" w:themeTint="34" w:fill="fff0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c99c00" w:themeColor="accent5" w:fill="c99c00" w:themeFill="accent5"/>
      </w:tcPr>
    </w:tblStylePr>
  </w:style>
  <w:style w:type="table" w:styleId="908" w:customStyle="1">
    <w:name w:val="Bordered &amp; Lined - Accent 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color="751311" w:themeColor="accent6" w:themeShade="95" w:sz="4" w:space="0"/>
        <w:left w:val="single" w:color="751311" w:themeColor="accent6" w:themeShade="95" w:sz="4" w:space="0"/>
        <w:bottom w:val="single" w:color="751311" w:themeColor="accent6" w:themeShade="95" w:sz="4" w:space="0"/>
        <w:right w:val="single" w:color="751311" w:themeColor="accent6" w:themeShade="95" w:sz="4" w:space="0"/>
        <w:insideH w:val="single" w:color="751311" w:themeColor="accent6" w:themeShade="95" w:sz="4" w:space="0"/>
        <w:insideV w:val="single" w:color="751311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7cdcd" w:themeColor="accent6" w:themeTint="34" w:fill="f7cdcd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c9211e" w:themeColor="accent6" w:fill="c9211e" w:themeFill="accent6"/>
      </w:tcPr>
    </w:tblStylePr>
  </w:style>
  <w:style w:type="table" w:styleId="90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87FC76" w:themeColor="accent1" w:themeTint="67" w:sz="4" w:space="0"/>
        <w:left w:val="single" w:color="87FC76" w:themeColor="accent1" w:themeTint="67" w:sz="4" w:space="0"/>
        <w:bottom w:val="single" w:color="87FC76" w:themeColor="accent1" w:themeTint="67" w:sz="4" w:space="0"/>
        <w:right w:val="single" w:color="87FC76" w:themeColor="accent1" w:themeTint="67" w:sz="4" w:space="0"/>
        <w:insideH w:val="single" w:color="87FC76" w:themeColor="accent1" w:themeTint="67" w:sz="4" w:space="0"/>
        <w:insideV w:val="single" w:color="87FC76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7FC76" w:themeColor="accent1" w:themeTint="67" w:sz="4" w:space="0"/>
          <w:left w:val="single" w:color="87FC76" w:themeColor="accent1" w:themeTint="67" w:sz="4" w:space="0"/>
          <w:bottom w:val="single" w:color="87FC76" w:themeColor="accent1" w:themeTint="67" w:sz="4" w:space="0"/>
          <w:right w:val="single" w:color="87FC76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8A303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8A303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8A303" w:themeColor="accent1" w:sz="12" w:space="0"/>
        </w:tcBorders>
      </w:tcPr>
    </w:tblStylePr>
  </w:style>
  <w:style w:type="table" w:styleId="91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76CBFC" w:themeColor="accent2" w:themeTint="67" w:sz="4" w:space="0"/>
        <w:left w:val="single" w:color="76CBFC" w:themeColor="accent2" w:themeTint="67" w:sz="4" w:space="0"/>
        <w:bottom w:val="single" w:color="76CBFC" w:themeColor="accent2" w:themeTint="67" w:sz="4" w:space="0"/>
        <w:right w:val="single" w:color="76CBFC" w:themeColor="accent2" w:themeTint="67" w:sz="4" w:space="0"/>
        <w:insideH w:val="single" w:color="76CBFC" w:themeColor="accent2" w:themeTint="67" w:sz="4" w:space="0"/>
        <w:insideV w:val="single" w:color="76CBFC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76CBFC" w:themeColor="accent2" w:themeTint="67" w:sz="4" w:space="0"/>
          <w:left w:val="single" w:color="76CBFC" w:themeColor="accent2" w:themeTint="67" w:sz="4" w:space="0"/>
          <w:bottom w:val="single" w:color="76CBFC" w:themeColor="accent2" w:themeTint="67" w:sz="4" w:space="0"/>
          <w:right w:val="single" w:color="76CBFC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36B3FB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36B3FB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36B3FB" w:themeColor="accent2" w:themeTint="97" w:sz="12" w:space="0"/>
        </w:tcBorders>
      </w:tcPr>
    </w:tblStylePr>
  </w:style>
  <w:style w:type="table" w:styleId="91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FCA776" w:themeColor="accent3" w:themeTint="67" w:sz="4" w:space="0"/>
        <w:left w:val="single" w:color="FCA776" w:themeColor="accent3" w:themeTint="67" w:sz="4" w:space="0"/>
        <w:bottom w:val="single" w:color="FCA776" w:themeColor="accent3" w:themeTint="67" w:sz="4" w:space="0"/>
        <w:right w:val="single" w:color="FCA776" w:themeColor="accent3" w:themeTint="67" w:sz="4" w:space="0"/>
        <w:insideH w:val="single" w:color="FCA776" w:themeColor="accent3" w:themeTint="67" w:sz="4" w:space="0"/>
        <w:insideV w:val="single" w:color="FCA776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CA776" w:themeColor="accent3" w:themeTint="67" w:sz="4" w:space="0"/>
          <w:left w:val="single" w:color="FCA776" w:themeColor="accent3" w:themeTint="67" w:sz="4" w:space="0"/>
          <w:bottom w:val="single" w:color="FCA776" w:themeColor="accent3" w:themeTint="67" w:sz="4" w:space="0"/>
          <w:right w:val="single" w:color="FCA776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B7E35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B7E35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B7E35" w:themeColor="accent3" w:themeTint="98" w:sz="12" w:space="0"/>
        </w:tcBorders>
      </w:tcPr>
    </w:tblStylePr>
  </w:style>
  <w:style w:type="table" w:styleId="91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EA76FC" w:themeColor="accent4" w:themeTint="67" w:sz="4" w:space="0"/>
        <w:left w:val="single" w:color="EA76FC" w:themeColor="accent4" w:themeTint="67" w:sz="4" w:space="0"/>
        <w:bottom w:val="single" w:color="EA76FC" w:themeColor="accent4" w:themeTint="67" w:sz="4" w:space="0"/>
        <w:right w:val="single" w:color="EA76FC" w:themeColor="accent4" w:themeTint="67" w:sz="4" w:space="0"/>
        <w:insideH w:val="single" w:color="EA76FC" w:themeColor="accent4" w:themeTint="67" w:sz="4" w:space="0"/>
        <w:insideV w:val="single" w:color="EA76FC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A76FC" w:themeColor="accent4" w:themeTint="67" w:sz="4" w:space="0"/>
          <w:left w:val="single" w:color="EA76FC" w:themeColor="accent4" w:themeTint="67" w:sz="4" w:space="0"/>
          <w:bottom w:val="single" w:color="EA76FC" w:themeColor="accent4" w:themeTint="67" w:sz="4" w:space="0"/>
          <w:right w:val="single" w:color="EA76FC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E032FB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032FB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032FB" w:themeColor="accent4" w:themeTint="9A" w:sz="12" w:space="0"/>
        </w:tcBorders>
      </w:tcPr>
    </w:tblStylePr>
  </w:style>
  <w:style w:type="table" w:styleId="91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FFE282" w:themeColor="accent5" w:themeTint="67" w:sz="4" w:space="0"/>
        <w:left w:val="single" w:color="FFE282" w:themeColor="accent5" w:themeTint="67" w:sz="4" w:space="0"/>
        <w:bottom w:val="single" w:color="FFE282" w:themeColor="accent5" w:themeTint="67" w:sz="4" w:space="0"/>
        <w:right w:val="single" w:color="FFE282" w:themeColor="accent5" w:themeTint="67" w:sz="4" w:space="0"/>
        <w:insideH w:val="single" w:color="FFE282" w:themeColor="accent5" w:themeTint="67" w:sz="4" w:space="0"/>
        <w:insideV w:val="single" w:color="FFE282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282" w:themeColor="accent5" w:themeTint="67" w:sz="4" w:space="0"/>
          <w:left w:val="single" w:color="FFE282" w:themeColor="accent5" w:themeTint="67" w:sz="4" w:space="0"/>
          <w:bottom w:val="single" w:color="FFE282" w:themeColor="accent5" w:themeTint="67" w:sz="4" w:space="0"/>
          <w:right w:val="single" w:color="FFE282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444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444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444" w:themeColor="accent5" w:themeTint="9A" w:sz="12" w:space="0"/>
        </w:tcBorders>
      </w:tcPr>
    </w:tblStylePr>
  </w:style>
  <w:style w:type="table" w:styleId="91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09D9C" w:themeColor="accent6" w:themeTint="67" w:sz="4" w:space="0"/>
        <w:left w:val="single" w:color="F09D9C" w:themeColor="accent6" w:themeTint="67" w:sz="4" w:space="0"/>
        <w:bottom w:val="single" w:color="F09D9C" w:themeColor="accent6" w:themeTint="67" w:sz="4" w:space="0"/>
        <w:right w:val="single" w:color="F09D9C" w:themeColor="accent6" w:themeTint="67" w:sz="4" w:space="0"/>
        <w:insideH w:val="single" w:color="F09D9C" w:themeColor="accent6" w:themeTint="67" w:sz="4" w:space="0"/>
        <w:insideV w:val="single" w:color="F09D9C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09D9C" w:themeColor="accent6" w:themeTint="67" w:sz="4" w:space="0"/>
          <w:left w:val="single" w:color="F09D9C" w:themeColor="accent6" w:themeTint="67" w:sz="4" w:space="0"/>
          <w:bottom w:val="single" w:color="F09D9C" w:themeColor="accent6" w:themeTint="67" w:sz="4" w:space="0"/>
          <w:right w:val="single" w:color="F09D9C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E9706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9706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9706E" w:themeColor="accent6" w:themeTint="98" w:sz="12" w:space="0"/>
        </w:tcBorders>
      </w:tcPr>
    </w:tblStylePr>
  </w:style>
  <w:style w:type="paragraph" w:styleId="916">
    <w:name w:val="footnote text"/>
    <w:basedOn w:val="736"/>
    <w:link w:val="917"/>
    <w:uiPriority w:val="99"/>
    <w:semiHidden/>
    <w:unhideWhenUsed/>
    <w:pPr>
      <w:spacing w:after="40"/>
    </w:pPr>
    <w:rPr>
      <w:sz w:val="18"/>
    </w:rPr>
  </w:style>
  <w:style w:type="character" w:styleId="917" w:customStyle="1">
    <w:name w:val="Текст сноски Знак"/>
    <w:link w:val="916"/>
    <w:uiPriority w:val="99"/>
    <w:rPr>
      <w:sz w:val="18"/>
    </w:rPr>
  </w:style>
  <w:style w:type="character" w:styleId="918">
    <w:name w:val="footnote reference"/>
    <w:basedOn w:val="746"/>
    <w:uiPriority w:val="99"/>
    <w:unhideWhenUsed/>
    <w:rPr>
      <w:vertAlign w:val="superscript"/>
    </w:rPr>
  </w:style>
  <w:style w:type="paragraph" w:styleId="919">
    <w:name w:val="endnote text"/>
    <w:basedOn w:val="736"/>
    <w:link w:val="920"/>
    <w:uiPriority w:val="99"/>
    <w:semiHidden/>
    <w:unhideWhenUsed/>
    <w:rPr>
      <w:sz w:val="20"/>
    </w:rPr>
  </w:style>
  <w:style w:type="character" w:styleId="920" w:customStyle="1">
    <w:name w:val="Текст концевой сноски Знак"/>
    <w:link w:val="919"/>
    <w:uiPriority w:val="99"/>
    <w:rPr>
      <w:sz w:val="20"/>
    </w:rPr>
  </w:style>
  <w:style w:type="character" w:styleId="921">
    <w:name w:val="endnote reference"/>
    <w:basedOn w:val="746"/>
    <w:uiPriority w:val="99"/>
    <w:semiHidden/>
    <w:unhideWhenUsed/>
    <w:rPr>
      <w:vertAlign w:val="superscript"/>
    </w:rPr>
  </w:style>
  <w:style w:type="paragraph" w:styleId="922">
    <w:name w:val="toc 1"/>
    <w:basedOn w:val="736"/>
    <w:next w:val="736"/>
    <w:uiPriority w:val="39"/>
    <w:unhideWhenUsed/>
    <w:pPr>
      <w:spacing w:after="57"/>
    </w:pPr>
  </w:style>
  <w:style w:type="paragraph" w:styleId="923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924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925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926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927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928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929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930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931">
    <w:name w:val="TOC Heading"/>
    <w:uiPriority w:val="39"/>
    <w:unhideWhenUsed/>
  </w:style>
  <w:style w:type="paragraph" w:styleId="932">
    <w:name w:val="table of figures"/>
    <w:basedOn w:val="736"/>
    <w:next w:val="736"/>
    <w:uiPriority w:val="99"/>
    <w:unhideWhenUsed/>
  </w:style>
  <w:style w:type="character" w:styleId="933" w:customStyle="1">
    <w:name w:val="Body text (2)_"/>
    <w:basedOn w:val="746"/>
    <w:qFormat/>
    <w:rPr>
      <w:rFonts w:ascii="Times New Roman" w:hAnsi="Times New Roman"/>
      <w:b w:val="0"/>
      <w:i w:val="0"/>
      <w:caps w:val="0"/>
      <w:smallCaps w:val="0"/>
      <w:strike w:val="0"/>
      <w:u w:val="none"/>
    </w:rPr>
  </w:style>
  <w:style w:type="character" w:styleId="934" w:customStyle="1">
    <w:name w:val="Body text_"/>
    <w:basedOn w:val="746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styleId="935" w:customStyle="1">
    <w:name w:val="Body text (3)_"/>
    <w:basedOn w:val="746"/>
    <w:qFormat/>
    <w:rPr>
      <w:rFonts w:ascii="Times New Roman" w:hAnsi="Times New Roman"/>
      <w:b w:val="0"/>
      <w:i w:val="0"/>
      <w:caps w:val="0"/>
      <w:smallCaps w:val="0"/>
      <w:strike w:val="0"/>
      <w:sz w:val="18"/>
      <w:u w:val="none"/>
    </w:rPr>
  </w:style>
  <w:style w:type="character" w:styleId="936" w:customStyle="1">
    <w:name w:val="Header or footer (2)_"/>
    <w:basedOn w:val="746"/>
    <w:qFormat/>
    <w:rPr>
      <w:rFonts w:ascii="Times New Roman" w:hAnsi="Times New Roman"/>
      <w:b w:val="0"/>
      <w:i w:val="0"/>
      <w:caps w:val="0"/>
      <w:smallCaps w:val="0"/>
      <w:strike w:val="0"/>
      <w:sz w:val="20"/>
      <w:u w:val="none"/>
    </w:rPr>
  </w:style>
  <w:style w:type="character" w:styleId="937" w:customStyle="1">
    <w:name w:val="Body text (5)_"/>
    <w:basedOn w:val="746"/>
    <w:qFormat/>
    <w:rPr>
      <w:rFonts w:ascii="Arial" w:hAnsi="Arial"/>
      <w:b/>
      <w:i w:val="0"/>
      <w:caps w:val="0"/>
      <w:smallCaps w:val="0"/>
      <w:strike w:val="0"/>
      <w:color w:val="393939"/>
      <w:sz w:val="13"/>
      <w:u w:val="none"/>
    </w:rPr>
  </w:style>
  <w:style w:type="character" w:styleId="938" w:customStyle="1">
    <w:name w:val="Heading #1_"/>
    <w:basedOn w:val="746"/>
    <w:qFormat/>
    <w:rPr>
      <w:rFonts w:ascii="Arial Unicode MS" w:hAnsi="Arial Unicode MS"/>
      <w:b w:val="0"/>
      <w:i w:val="0"/>
      <w:caps w:val="0"/>
      <w:smallCaps w:val="0"/>
      <w:strike w:val="0"/>
      <w:sz w:val="26"/>
      <w:u w:val="none"/>
    </w:rPr>
  </w:style>
  <w:style w:type="character" w:styleId="939" w:customStyle="1">
    <w:name w:val="Body text (4)_"/>
    <w:basedOn w:val="746"/>
    <w:qFormat/>
    <w:rPr>
      <w:rFonts w:ascii="Times New Roman" w:hAnsi="Times New Roman"/>
      <w:b w:val="0"/>
      <w:i w:val="0"/>
      <w:caps w:val="0"/>
      <w:smallCaps w:val="0"/>
      <w:strike w:val="0"/>
      <w:sz w:val="13"/>
      <w:u w:val="none"/>
    </w:rPr>
  </w:style>
  <w:style w:type="character" w:styleId="940" w:customStyle="1">
    <w:name w:val="Heading #2_"/>
    <w:basedOn w:val="746"/>
    <w:qFormat/>
    <w:rPr>
      <w:rFonts w:ascii="Times New Roman" w:hAnsi="Times New Roman"/>
      <w:b/>
      <w:i w:val="0"/>
      <w:caps w:val="0"/>
      <w:smallCaps w:val="0"/>
      <w:strike w:val="0"/>
      <w:sz w:val="20"/>
      <w:u w:val="none"/>
    </w:rPr>
  </w:style>
  <w:style w:type="character" w:styleId="941">
    <w:name w:val="Hyperlink"/>
    <w:rPr>
      <w:color w:val="000080"/>
      <w:u w:val="single"/>
    </w:rPr>
  </w:style>
  <w:style w:type="paragraph" w:styleId="942">
    <w:name w:val="Body Text"/>
    <w:basedOn w:val="736"/>
    <w:pPr>
      <w:spacing w:after="140" w:line="276" w:lineRule="auto"/>
    </w:pPr>
  </w:style>
  <w:style w:type="paragraph" w:styleId="943">
    <w:name w:val="List"/>
    <w:basedOn w:val="942"/>
    <w:rPr>
      <w:rFonts w:ascii="PT Astra Serif" w:hAnsi="PT Astra Serif" w:cs="FreeSans"/>
    </w:rPr>
  </w:style>
  <w:style w:type="paragraph" w:styleId="944">
    <w:name w:val="Caption"/>
    <w:basedOn w:val="736"/>
    <w:link w:val="789"/>
    <w:qFormat/>
    <w:pPr>
      <w:spacing w:before="120" w:after="120"/>
      <w:suppressLineNumbers/>
    </w:pPr>
    <w:rPr>
      <w:rFonts w:ascii="PT Astra Serif" w:hAnsi="PT Astra Serif" w:cs="FreeSans"/>
      <w:i/>
      <w:iCs/>
    </w:rPr>
  </w:style>
  <w:style w:type="paragraph" w:styleId="945">
    <w:name w:val="index heading"/>
    <w:basedOn w:val="736"/>
    <w:qFormat/>
    <w:pPr>
      <w:suppressLineNumbers/>
    </w:pPr>
    <w:rPr>
      <w:rFonts w:ascii="PT Astra Serif" w:hAnsi="PT Astra Serif" w:cs="FreeSans"/>
    </w:rPr>
  </w:style>
  <w:style w:type="paragraph" w:styleId="946" w:customStyle="1">
    <w:name w:val="Body text (2)"/>
    <w:basedOn w:val="736"/>
    <w:qFormat/>
    <w:pPr>
      <w:ind w:left="580" w:firstLine="720"/>
      <w:spacing w:line="324" w:lineRule="auto"/>
      <w:shd w:val="clear" w:color="auto" w:fill="ffffff"/>
    </w:pPr>
    <w:rPr>
      <w:rFonts w:ascii="Times New Roman" w:hAnsi="Times New Roman"/>
    </w:rPr>
  </w:style>
  <w:style w:type="paragraph" w:styleId="947" w:customStyle="1">
    <w:name w:val="Body text1"/>
    <w:basedOn w:val="736"/>
    <w:qFormat/>
    <w:pPr>
      <w:ind w:firstLine="400"/>
      <w:shd w:val="clear" w:color="auto" w:fill="ffffff"/>
    </w:pPr>
    <w:rPr>
      <w:rFonts w:ascii="Times New Roman" w:hAnsi="Times New Roman"/>
      <w:sz w:val="20"/>
    </w:rPr>
  </w:style>
  <w:style w:type="paragraph" w:styleId="948" w:customStyle="1">
    <w:name w:val="Body text (3)"/>
    <w:basedOn w:val="736"/>
    <w:qFormat/>
    <w:pPr>
      <w:spacing w:line="259" w:lineRule="auto"/>
      <w:shd w:val="clear" w:color="auto" w:fill="ffffff"/>
    </w:pPr>
    <w:rPr>
      <w:rFonts w:ascii="Times New Roman" w:hAnsi="Times New Roman"/>
      <w:sz w:val="18"/>
    </w:rPr>
  </w:style>
  <w:style w:type="paragraph" w:styleId="949" w:customStyle="1">
    <w:name w:val="Header or footer (2)"/>
    <w:basedOn w:val="736"/>
    <w:qFormat/>
    <w:rPr>
      <w:rFonts w:ascii="Times New Roman" w:hAnsi="Times New Roman"/>
      <w:sz w:val="20"/>
    </w:rPr>
  </w:style>
  <w:style w:type="paragraph" w:styleId="950" w:customStyle="1">
    <w:name w:val="Body text (5)"/>
    <w:basedOn w:val="736"/>
    <w:qFormat/>
    <w:pPr>
      <w:ind w:left="3100"/>
      <w:spacing w:after="40"/>
      <w:shd w:val="clear" w:color="auto" w:fill="ffffff"/>
    </w:pPr>
    <w:rPr>
      <w:rFonts w:ascii="Arial" w:hAnsi="Arial"/>
      <w:b/>
      <w:color w:val="393939"/>
      <w:sz w:val="13"/>
    </w:rPr>
  </w:style>
  <w:style w:type="paragraph" w:styleId="951" w:customStyle="1">
    <w:name w:val="Heading #1"/>
    <w:basedOn w:val="736"/>
    <w:qFormat/>
    <w:pPr>
      <w:jc w:val="center"/>
      <w:spacing w:after="80" w:line="197" w:lineRule="auto"/>
      <w:shd w:val="clear" w:color="auto" w:fill="ffffff"/>
      <w:outlineLvl w:val="0"/>
    </w:pPr>
    <w:rPr>
      <w:rFonts w:ascii="Arial Unicode MS" w:hAnsi="Arial Unicode MS"/>
      <w:sz w:val="26"/>
    </w:rPr>
  </w:style>
  <w:style w:type="paragraph" w:styleId="952" w:customStyle="1">
    <w:name w:val="Body text (4)"/>
    <w:basedOn w:val="736"/>
    <w:qFormat/>
    <w:pPr>
      <w:spacing w:after="80"/>
      <w:shd w:val="clear" w:color="auto" w:fill="ffffff"/>
    </w:pPr>
    <w:rPr>
      <w:rFonts w:ascii="Times New Roman" w:hAnsi="Times New Roman"/>
      <w:sz w:val="13"/>
    </w:rPr>
  </w:style>
  <w:style w:type="paragraph" w:styleId="953" w:customStyle="1">
    <w:name w:val="Heading #2"/>
    <w:basedOn w:val="736"/>
    <w:qFormat/>
    <w:pPr>
      <w:jc w:val="center"/>
      <w:spacing w:after="100"/>
      <w:shd w:val="clear" w:color="auto" w:fill="ffffff"/>
      <w:outlineLvl w:val="1"/>
    </w:pPr>
    <w:rPr>
      <w:rFonts w:ascii="Times New Roman" w:hAnsi="Times New Roman"/>
      <w:b/>
      <w:sz w:val="20"/>
    </w:rPr>
  </w:style>
  <w:style w:type="paragraph" w:styleId="954" w:customStyle="1">
    <w:name w:val="Содержимое врезки"/>
    <w:basedOn w:val="736"/>
    <w:qFormat/>
  </w:style>
  <w:style w:type="paragraph" w:styleId="955" w:customStyle="1">
    <w:name w:val="Колонтитулы"/>
    <w:basedOn w:val="736"/>
    <w:qFormat/>
  </w:style>
  <w:style w:type="paragraph" w:styleId="956">
    <w:name w:val="Header"/>
    <w:basedOn w:val="955"/>
    <w:link w:val="786"/>
  </w:style>
  <w:style w:type="character" w:styleId="957">
    <w:name w:val="Unresolved Mention"/>
    <w:basedOn w:val="746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https://isu.bashgmu.ru/" TargetMode="External"/><Relationship Id="rId13" Type="http://schemas.openxmlformats.org/officeDocument/2006/relationships/hyperlink" Target="http://kpfu.ru/jurdocs" TargetMode="External"/><Relationship Id="rId14" Type="http://schemas.openxmlformats.org/officeDocument/2006/relationships/hyperlink" Target="https://www.bashgmu.ru/sveden/document/" TargetMode="External"/><Relationship Id="rId15" Type="http://schemas.openxmlformats.org/officeDocument/2006/relationships/hyperlink" Target="mailto:rectorat@bashgm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Изосимова Вероника Евгеньевна</dc:creator>
  <dc:description/>
  <dc:language>ru-RU</dc:language>
  <cp:lastModifiedBy>rvnizhegorodova@BGMU.lo</cp:lastModifiedBy>
  <cp:revision>15</cp:revision>
  <dcterms:created xsi:type="dcterms:W3CDTF">2026-06-29T04:29:00Z</dcterms:created>
  <dcterms:modified xsi:type="dcterms:W3CDTF">2026-07-08T06:17:02Z</dcterms:modified>
</cp:coreProperties>
</file>